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UTAH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Utah Landlord-Tenant Highlights</w:t>
      </w:r>
    </w:p>
    <w:p>
      <w:pPr>
        <w:spacing w:after="120"/>
      </w:pPr>
      <w:r>
        <w:rPr>
          <w:sz w:val="22"/>
          <w:szCs w:val="22"/>
        </w:rPr>
        <w:t xml:space="preserve">The Utah Fit Premises Act obligates the landlord to maintain the dwelling in a safe and sanitary condition, including electrical, plumbing, heating, and structural elements, and sets out a process under which the tenant gives written notice of a defective condition and the landlord has a defined period to respond before the tenant's remedies become available. Utah does not cap the amount of a residential security deposit, but any nonrefundable portion of a deposit or fee must be disclosed in writing in the rental agreement, and a failure to do so can result in the entire amount being treated as refundable. After the tenancy ends, the landlord must provide a written itemization of deductions and return the balance within the statutory period. Utah uses comparatively short notice periods for several grounds, including nonpayment of rent, so both parties should act promptly on any notice received. Self-help eviction is prohibited; enter [SECURITY DEPOSIT AMOUNT] and [NONREFUNDABLE FEE AMOUNT] only after confirming the current Utah Code.</w:t>
      </w:r>
    </w:p>
    <w:p>
      <w:pPr>
        <w:pStyle w:val="Heading2"/>
        <w:spacing w:after="120" w:before="300"/>
      </w:pPr>
      <w:r>
        <w:t xml:space="preserve">18. Required Disclosures in Utah</w:t>
      </w:r>
    </w:p>
    <w:p>
      <w:pPr>
        <w:spacing w:after="120"/>
      </w:pPr>
      <w:r>
        <w:rPr>
          <w:sz w:val="22"/>
          <w:szCs w:val="22"/>
        </w:rPr>
        <w:t xml:space="preserve">Utah requires that any nonrefundable portion of a deposit or fee be stated in writing in the rental agreement, which is the state's most consequential lease disclosure and is frequently the subject of disputes. Federal lead-based paint rules apply to pre-1978 dwellings, requiring the EPA pamphlet, disclosure of known hazards, and the federal warning language. Utah landlords should identify the owner or authorized agent and an address for notices at [OWNER OR AGENT NOTICE ADDRESS], which is also where the tenant will send written notice of a defective condition under the Fit Premises Act. Utah also has disclosure obligations relating to properties that have been used in the manufacture of controlled substances, so a landlord aware of such history should address it. Documenting unit condition at move-in with an inventory form supports later deductions. Confirm current requirements in the Utah Code.</w:t>
      </w:r>
    </w:p>
    <w:p>
      <w:pPr>
        <w:pStyle w:val="Heading2"/>
        <w:spacing w:after="120" w:before="300"/>
      </w:pPr>
      <w:r>
        <w:t xml:space="preserve">19. Utah Official Resources</w:t>
      </w:r>
    </w:p>
    <w:p>
      <w:pPr>
        <w:spacing w:after="120"/>
      </w:pPr>
      <w:r>
        <w:rPr>
          <w:sz w:val="22"/>
          <w:szCs w:val="22"/>
        </w:rPr>
        <w:t xml:space="preserve">For current statutes and official guidance, consult the Utah Legislature (Utah Code, Fit Premises Act) (https://le.utah.gov).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Utah Residential Lease Agreement</dc:title>
  <dc:creator>ScanContract</dc:creator>
  <dc:description>Download a free Utah residential lease agreement template (PDF &amp; Word) with Utah landlord-tenant highlights, required disclosures, and official resources.</dc:description>
  <cp:lastModifiedBy>Un-named</cp:lastModifiedBy>
  <cp:revision>1</cp:revision>
  <dcterms:created xsi:type="dcterms:W3CDTF">2026-08-16T12:32:40.872Z</dcterms:created>
  <dcterms:modified xsi:type="dcterms:W3CDTF">2026-08-16T12:32:40.872Z</dcterms:modified>
</cp:coreProperties>
</file>

<file path=docProps/custom.xml><?xml version="1.0" encoding="utf-8"?>
<Properties xmlns="http://schemas.openxmlformats.org/officeDocument/2006/custom-properties" xmlns:vt="http://schemas.openxmlformats.org/officeDocument/2006/docPropsVTypes"/>
</file>