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TENNESSEE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Tennessee Landlord-Tenant Highlights</w:t>
      </w:r>
    </w:p>
    <w:p>
      <w:pPr>
        <w:spacing w:after="120"/>
      </w:pPr>
      <w:r>
        <w:rPr>
          <w:sz w:val="22"/>
          <w:szCs w:val="22"/>
        </w:rPr>
        <w:t xml:space="preserve">The Tennessee Uniform Residential Landlord and Tenant Act applies only in counties above a statutory population threshold, so the first question in any Tennessee tenancy is whether the county is covered; in counties that are not, common law and the written lease supply most of the rules, which makes careful drafting essential. In covered counties, the landlord must comply with applicable building and housing codes materially affecting health and safety and keep the premises in a fit and habitable condition, and late fees are limited to a percentage of the rent due. Security deposits are not capped by amount, but the Act requires the deposit to be held in a separate account at a regulated institution and the tenant to be informed of the location, and it requires an inspection and itemization process at move-out. Landlords must generally give reasonable advance notice before non-emergency entry. Self-help eviction is prohibited; enter [SECURITY DEPOSIT AMOUNT], [LATE FEE PERCENT], and [DEPOSIT INSTITUTION] only after confirming coverage and the current statute.</w:t>
      </w:r>
    </w:p>
    <w:p>
      <w:pPr>
        <w:pStyle w:val="Heading2"/>
        <w:spacing w:after="120" w:before="300"/>
      </w:pPr>
      <w:r>
        <w:t xml:space="preserve">18. Required Disclosures in Tennessee</w:t>
      </w:r>
    </w:p>
    <w:p>
      <w:pPr>
        <w:spacing w:after="120"/>
      </w:pPr>
      <w:r>
        <w:rPr>
          <w:sz w:val="22"/>
          <w:szCs w:val="22"/>
        </w:rPr>
        <w:t xml:space="preserve">Federal lead-based paint disclosure applies to any Tennessee dwelling built before 1978, requiring the EPA pamphlet, disclosure of known hazards, and the federal warning language in the lease. In counties covered by the Act, the landlord must disclose the name and address of the owner or the person authorized to manage the premises and to receive notices at [OWNER OR AGENT NOTICE ADDRESS], and must inform the tenant where the security deposit is held. Tennessee landlords commonly document the condition of the unit at move-in, and in covered counties the tenant has a right to be present at a move-out inspection, which makes a written condition record especially valuable. Disclosing known material defects and identifying utility responsibility is standard practice statewide. Confirm the current requirements in the Tennessee Code Annotated and check whether the county is covered.</w:t>
      </w:r>
    </w:p>
    <w:p>
      <w:pPr>
        <w:pStyle w:val="Heading2"/>
        <w:spacing w:after="120" w:before="300"/>
      </w:pPr>
      <w:r>
        <w:t xml:space="preserve">19. Tennessee Official Resources</w:t>
      </w:r>
    </w:p>
    <w:p>
      <w:pPr>
        <w:spacing w:after="120"/>
      </w:pPr>
      <w:r>
        <w:rPr>
          <w:sz w:val="22"/>
          <w:szCs w:val="22"/>
        </w:rPr>
        <w:t xml:space="preserve">For current statutes and official guidance, consult the Tennessee General Assembly (Tennessee Code Annotated) (https://www.capitol.tn.gov).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Tennessee Residential Lease Agreement</dc:title>
  <dc:creator>ScanContract</dc:creator>
  <dc:description>Download a free Tennessee residential lease agreement template (PDF &amp; Word) with Tennessee landlord-tenant highlights, required disclosures, and official resources.</dc:description>
  <cp:lastModifiedBy>Un-named</cp:lastModifiedBy>
  <cp:revision>1</cp:revision>
  <dcterms:created xsi:type="dcterms:W3CDTF">2026-08-16T12:32:40.849Z</dcterms:created>
  <dcterms:modified xsi:type="dcterms:W3CDTF">2026-08-16T12:32:40.849Z</dcterms:modified>
</cp:coreProperties>
</file>

<file path=docProps/custom.xml><?xml version="1.0" encoding="utf-8"?>
<Properties xmlns="http://schemas.openxmlformats.org/officeDocument/2006/custom-properties" xmlns:vt="http://schemas.openxmlformats.org/officeDocument/2006/docPropsVTypes"/>
</file>