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HAMPSHIRE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New Hampshire Landlord-Tenant Highlights</w:t>
      </w:r>
    </w:p>
    <w:p>
      <w:pPr>
        <w:spacing w:after="120"/>
      </w:pPr>
      <w:r>
        <w:rPr>
          <w:sz w:val="22"/>
          <w:szCs w:val="22"/>
        </w:rPr>
        <w:t xml:space="preserve">New Hampshire generally requires a landlord to have a statutory ground before evicting a residential tenant from a covered unit, which distinguishes it from the majority of states where a term can simply be allowed to expire. Recognized grounds commonly include nonpayment of rent, substantial damage to the premises, behavior that adversely affects the health or safety of others, failure to comply with a material lease term, and certain owner-use or substantial-renovation situations. Security deposits are regulated: the statute addresses receipts, how deposit funds are held, and the landlord's duty to account for deductions, and several of these provisions apply based on how many units the landlord owns and whether the landlord occupies the building. Rent increases on periodic tenancies require advance written notice, and an increase used as a substitute for an unlawful eviction can be challenged. Enter [SECURITY DEPOSIT AMOUNT] and any notice periods only after checking the current New Hampshire RSAs, which are amended more often than most.</w:t>
      </w:r>
    </w:p>
    <w:p>
      <w:pPr>
        <w:pStyle w:val="Heading2"/>
        <w:spacing w:after="120" w:before="300"/>
      </w:pPr>
      <w:r>
        <w:t xml:space="preserve">18. Required Disclosures in New Hampshire</w:t>
      </w:r>
    </w:p>
    <w:p>
      <w:pPr>
        <w:spacing w:after="120"/>
      </w:pPr>
      <w:r>
        <w:rPr>
          <w:sz w:val="22"/>
          <w:szCs w:val="22"/>
        </w:rPr>
        <w:t xml:space="preserve">The federal lead-based paint rules apply to any pre-1978 New Hampshire dwelling and require the EPA pamphlet, disclosure of known hazards, and the federal warning language in the lease; New Hampshire layers its own lead hazard notification framework on top, which matters given the age of the state's housing stock. Landlords are expected to give the tenant a written receipt or statement in connection with a security deposit and to identify the person and address at [OWNER OR AGENT NOTICE ADDRESS] authorized to receive notices. Disclosing known material defects, including conditions in older buildings such as knob-and-tube wiring or unvented heating, is standard practice and reduces habitability disputes later. Where the tenant pays for heat, disclosing the fuel type and the utility account arrangement avoids a frequent winter dispute. Verify the current disclosure set against the New Hampshire RSAs.</w:t>
      </w:r>
    </w:p>
    <w:p>
      <w:pPr>
        <w:pStyle w:val="Heading2"/>
        <w:spacing w:after="120" w:before="300"/>
      </w:pPr>
      <w:r>
        <w:t xml:space="preserve">19. New Hampshire Official Resources</w:t>
      </w:r>
    </w:p>
    <w:p>
      <w:pPr>
        <w:spacing w:after="120"/>
      </w:pPr>
      <w:r>
        <w:rPr>
          <w:sz w:val="22"/>
          <w:szCs w:val="22"/>
        </w:rPr>
        <w:t xml:space="preserve">For current statutes and official guidance, consult the New Hampshire General Court (New Hampshire Revised Statutes) (https://www.gencourt.state.nh.us).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Hampshire Residential Lease Agreement</dc:title>
  <dc:creator>ScanContract</dc:creator>
  <dc:description>Download a free New Hampshire residential lease agreement template (PDF &amp; Word) with New Hampshire landlord-tenant highlights, required disclosures, and official resources.</dc:description>
  <cp:lastModifiedBy>Un-named</cp:lastModifiedBy>
  <cp:revision>1</cp:revision>
  <dcterms:created xsi:type="dcterms:W3CDTF">2026-08-16T12:32:40.692Z</dcterms:created>
  <dcterms:modified xsi:type="dcterms:W3CDTF">2026-08-16T12:32:40.692Z</dcterms:modified>
</cp:coreProperties>
</file>

<file path=docProps/custom.xml><?xml version="1.0" encoding="utf-8"?>
<Properties xmlns="http://schemas.openxmlformats.org/officeDocument/2006/custom-properties" xmlns:vt="http://schemas.openxmlformats.org/officeDocument/2006/docPropsVTypes"/>
</file>