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MARYLAND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Maryland Landlord-Tenant Highlights</w:t>
      </w:r>
    </w:p>
    <w:p>
      <w:pPr>
        <w:spacing w:after="120"/>
      </w:pPr>
      <w:r>
        <w:rPr>
          <w:sz w:val="22"/>
          <w:szCs w:val="22"/>
        </w:rPr>
        <w:t xml:space="preserve">Maryland caps residential security deposits at an amount tied to monthly rent, commonly two months' rent, and a landlord who charges more can face penalties; the deposit must be held in a Maryland financial institution in an account devoted to deposits. Maryland requires the landlord to pay simple interest on deposits held for a defined minimum period, at a rate published by the state, and to return the deposit with interest or an itemized statement of deductions within the statutory window after the tenancy ends, commonly 45 days — withholding without proper itemization can expose the landlord to treble damages plus attorney fees. Tenants have a statutory right, on written request, to be present at a move-in inspection and to receive notice of and attend a move-out inspection. Landlords must give reasonable notice before entry, and while Maryland does not fix a single statewide hours figure in all circumstances, [NUMBER] hours' written notice is the customary standard to state in the lease. Maryland's lead risk reduction law imposes registration, inspection, and certification duties on rental properties built before 1978, and county ordinances in Montgomery, Prince George's, and Baltimore add further requirements.</w:t>
      </w:r>
    </w:p>
    <w:p>
      <w:pPr>
        <w:pStyle w:val="Heading2"/>
        <w:spacing w:after="120" w:before="300"/>
      </w:pPr>
      <w:r>
        <w:t xml:space="preserve">18. Required Disclosures in Maryland</w:t>
      </w:r>
    </w:p>
    <w:p>
      <w:pPr>
        <w:spacing w:after="120"/>
      </w:pPr>
      <w:r>
        <w:rPr>
          <w:sz w:val="22"/>
          <w:szCs w:val="22"/>
        </w:rPr>
        <w:t xml:space="preserve">Maryland requires landlords of rental properties built before 1978 to register with the state lead rental registry and to provide tenants with the required lead poisoning prevention notices and certificates, in addition to the federal lead-based paint disclosure and EPA pamphlet. Landlords must give a written receipt for any security deposit and must include statutory language explaining the tenant's right to an inspection and the penalties for improper withholding. The lease must identify the landlord or the agent authorized to receive notices, and must disclose whether the property is subject to a ground rent. Maryland also requires disclosure of the condition of the premises through the habitability provisions and, in defined circumstances, of any prior flooding. Confirm the state requirements with the Maryland Attorney General and check your county separately, since Montgomery, Prince George's, and Baltimore add their own notices.</w:t>
      </w:r>
    </w:p>
    <w:p>
      <w:pPr>
        <w:pStyle w:val="Heading2"/>
        <w:spacing w:after="120" w:before="300"/>
      </w:pPr>
      <w:r>
        <w:t xml:space="preserve">19. Maryland Official Resources</w:t>
      </w:r>
    </w:p>
    <w:p>
      <w:pPr>
        <w:spacing w:after="120"/>
      </w:pPr>
      <w:r>
        <w:rPr>
          <w:sz w:val="22"/>
          <w:szCs w:val="22"/>
        </w:rPr>
        <w:t xml:space="preserve">For current statutes and official guidance, consult the Maryland Attorney General (landlord and tenant resources) (https://www.marylandattorneygeneral.gov).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Maryland Residential Lease Agreement</dc:title>
  <dc:creator>ScanContract</dc:creator>
  <dc:description>Download a free Maryland residential lease agreement template (PDF &amp; Word) with Maryland landlord-tenant highlights, required disclosures, and official resources.</dc:description>
  <cp:lastModifiedBy>Un-named</cp:lastModifiedBy>
  <cp:revision>1</cp:revision>
  <dcterms:created xsi:type="dcterms:W3CDTF">2026-08-16T12:32:40.585Z</dcterms:created>
  <dcterms:modified xsi:type="dcterms:W3CDTF">2026-08-16T12:32:40.585Z</dcterms:modified>
</cp:coreProperties>
</file>

<file path=docProps/custom.xml><?xml version="1.0" encoding="utf-8"?>
<Properties xmlns="http://schemas.openxmlformats.org/officeDocument/2006/custom-properties" xmlns:vt="http://schemas.openxmlformats.org/officeDocument/2006/docPropsVTypes"/>
</file>