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KENTUCKY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Kentucky Landlord-Tenant Highlights</w:t>
      </w:r>
    </w:p>
    <w:p>
      <w:pPr>
        <w:spacing w:after="120"/>
      </w:pPr>
      <w:r>
        <w:rPr>
          <w:sz w:val="22"/>
          <w:szCs w:val="22"/>
        </w:rPr>
        <w:t xml:space="preserve">Kentucky's Uniform Residential Landlord and Tenant Act applies only in cities and counties that have formally adopted it — including Louisville-Jefferson County and Lexington-Fayette County — so the first question in any Kentucky lease is which regime governs the address. In adopting jurisdictions, there is no dollar cap on deposits, but the landlord must hold the deposit in a separate account at a financial institution and disclose the account location to the tenant, and must prepare a written list of existing damage that the tenant may inspect and sign before paying. At the end of the tenancy in an adopting jurisdiction, the landlord must provide an itemized list of damages and return the balance, and a landlord who did not maintain the separate account or provide the condition list may forfeit the right to withhold. The URLTA also requires at least [NUMBER] hours' notice before entry — commonly two days — with entry at reasonable times and emergencies excepted; outside adopting jurisdictions there is no statutory entry rule, so the lease must supply one. Federal lead-based paint rules apply statewide to dwellings built before 1978.</w:t>
      </w:r>
    </w:p>
    <w:p>
      <w:pPr>
        <w:pStyle w:val="Heading2"/>
        <w:spacing w:after="120" w:before="300"/>
      </w:pPr>
      <w:r>
        <w:t xml:space="preserve">18. Required Disclosures in Kentucky</w:t>
      </w:r>
    </w:p>
    <w:p>
      <w:pPr>
        <w:spacing w:after="120"/>
      </w:pPr>
      <w:r>
        <w:rPr>
          <w:sz w:val="22"/>
          <w:szCs w:val="22"/>
        </w:rPr>
        <w:t xml:space="preserve">Federal law requires the lead-based paint disclosure, records of known hazards, and the EPA pamphlet for any Kentucky dwelling built before 1978, and this applies whether or not the local jurisdiction has adopted the URLTA. In adopting jurisdictions, the landlord must disclose the financial institution where the security deposit is held and must provide a written list of existing damage before collecting the deposit, giving the tenant the chance to inspect and sign it. The landlord must also disclose the owner or the agent authorized to manage the premises and receive notices. Outside adopting jurisdictions, none of the state-level disclosure duties apply, so the lease should voluntarily state deposit handling, condition documentation, and the notice address. Confirm your jurisdiction's adoption status with the Kentucky General Assembly before relying on any statutory rule.</w:t>
      </w:r>
    </w:p>
    <w:p>
      <w:pPr>
        <w:pStyle w:val="Heading2"/>
        <w:spacing w:after="120" w:before="300"/>
      </w:pPr>
      <w:r>
        <w:t xml:space="preserve">19. Kentucky Official Resources</w:t>
      </w:r>
    </w:p>
    <w:p>
      <w:pPr>
        <w:spacing w:after="120"/>
      </w:pPr>
      <w:r>
        <w:rPr>
          <w:sz w:val="22"/>
          <w:szCs w:val="22"/>
        </w:rPr>
        <w:t xml:space="preserve">For current statutes and official guidance, consult the Kentucky General Assembly (Kentucky Revised Statutes) (https://legislature.ky.gov).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Kentucky Residential Lease Agreement</dc:title>
  <dc:creator>ScanContract</dc:creator>
  <dc:description>Download a free Kentucky residential lease agreement template (PDF &amp; Word) with Kentucky landlord-tenant highlights, required disclosures, and official resources.</dc:description>
  <cp:lastModifiedBy>Un-named</cp:lastModifiedBy>
  <cp:revision>1</cp:revision>
  <dcterms:created xsi:type="dcterms:W3CDTF">2026-08-16T12:32:40.550Z</dcterms:created>
  <dcterms:modified xsi:type="dcterms:W3CDTF">2026-08-16T12:32:40.550Z</dcterms:modified>
</cp:coreProperties>
</file>

<file path=docProps/custom.xml><?xml version="1.0" encoding="utf-8"?>
<Properties xmlns="http://schemas.openxmlformats.org/officeDocument/2006/custom-properties" xmlns:vt="http://schemas.openxmlformats.org/officeDocument/2006/docPropsVTypes"/>
</file>