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KANSAS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Kansas Landlord-Tenant Highlights</w:t>
      </w:r>
    </w:p>
    <w:p>
      <w:pPr>
        <w:spacing w:after="120"/>
      </w:pPr>
      <w:r>
        <w:rPr>
          <w:sz w:val="22"/>
          <w:szCs w:val="22"/>
        </w:rPr>
        <w:t xml:space="preserve">Kansas caps security deposits at an amount tied to monthly rent — commonly one month's rent for unfurnished units and one and one-half months' for furnished units, with an additional pet deposit permitted — so confirm the current caps before collecting. Kansas requires the landlord and tenant to jointly inspect the premises and complete a written inventory of condition within a short period after move-in, and that inventory is the reference point for any later damage deduction. After the tenancy ends, the landlord must deliver an itemized statement of deductions within the statutory window, commonly 14 days after determining the amount, and return any balance within a further period, commonly 30 days from termination; wrongful retention can expose the landlord to multiple damages. Kansas requires reasonable notice before entry at a reasonable time — [NUMBER] hours is the customary standard — and prohibits abusing the right of access to harass the tenant. Federal lead-based paint rules apply to Kansas dwellings built before 1978.</w:t>
      </w:r>
    </w:p>
    <w:p>
      <w:pPr>
        <w:pStyle w:val="Heading2"/>
        <w:spacing w:after="120" w:before="300"/>
      </w:pPr>
      <w:r>
        <w:t xml:space="preserve">18. Required Disclosures in Kansas</w:t>
      </w:r>
    </w:p>
    <w:p>
      <w:pPr>
        <w:spacing w:after="120"/>
      </w:pPr>
      <w:r>
        <w:rPr>
          <w:sz w:val="22"/>
          <w:szCs w:val="22"/>
        </w:rPr>
        <w:t xml:space="preserve">Kansas requires a written move-in inventory and condition record completed jointly by the landlord and tenant, which functions as the state's most practically important disclosure obligation because deposit deductions are measured against it. Federal law requires the lead-based paint disclosure, records of known hazards, and the EPA pamphlet for any dwelling built before 1978. Kansas expects the lease to identify the owner or the agent authorized to manage the property and to receive notices, particularly where an out-of-state owner uses a manager. Where a deposit is collected, the lease should describe the two-step return process so the tenant knows what to expect and when. Confirm current obligations with the Kansas Attorney General or the Kansas Statutes before finalizing your lease.</w:t>
      </w:r>
    </w:p>
    <w:p>
      <w:pPr>
        <w:pStyle w:val="Heading2"/>
        <w:spacing w:after="120" w:before="300"/>
      </w:pPr>
      <w:r>
        <w:t xml:space="preserve">19. Kansas Official Resources</w:t>
      </w:r>
    </w:p>
    <w:p>
      <w:pPr>
        <w:spacing w:after="120"/>
      </w:pPr>
      <w:r>
        <w:rPr>
          <w:sz w:val="22"/>
          <w:szCs w:val="22"/>
        </w:rPr>
        <w:t xml:space="preserve">For current statutes and official guidance, consult the Kansas Attorney General (consumer and tenant resources) (https://www.ag.ks.gov).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Kansas Residential Lease Agreement</dc:title>
  <dc:creator>ScanContract</dc:creator>
  <dc:description>Download a free Kansas residential lease agreement template (PDF &amp; Word) with Kansas landlord-tenant highlights, required disclosures, and official resources.</dc:description>
  <cp:lastModifiedBy>Un-named</cp:lastModifiedBy>
  <cp:revision>1</cp:revision>
  <dcterms:created xsi:type="dcterms:W3CDTF">2026-08-16T12:32:40.539Z</dcterms:created>
  <dcterms:modified xsi:type="dcterms:W3CDTF">2026-08-16T12:32:40.539Z</dcterms:modified>
</cp:coreProperties>
</file>

<file path=docProps/custom.xml><?xml version="1.0" encoding="utf-8"?>
<Properties xmlns="http://schemas.openxmlformats.org/officeDocument/2006/custom-properties" xmlns:vt="http://schemas.openxmlformats.org/officeDocument/2006/docPropsVTypes"/>
</file>