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IOWA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Iowa Landlord-Tenant Highlights</w:t>
      </w:r>
    </w:p>
    <w:p>
      <w:pPr>
        <w:spacing w:after="120"/>
      </w:pPr>
      <w:r>
        <w:rPr>
          <w:sz w:val="22"/>
          <w:szCs w:val="22"/>
        </w:rPr>
        <w:t xml:space="preserve">Iowa caps security deposits by statute at an amount tied to monthly rent, commonly two months' rent, and requires the deposit to be held in a federally insured financial institution separate from the landlord's own funds. Interest earned in the first several months of the tenancy may be retained by the landlord, with interest after that period belonging to the tenant — a distinctive Iowa rule that should be reflected in the lease. The landlord must deliver an itemized written statement of deductions within the statutory window after the tenancy ends and the tenant supplies a forwarding address, commonly 30 days, and bad-faith retention can support punitive damages. Iowa requires at least 24 hours' notice before entry for repairs, inspections, or showings, with entry at reasonable times and emergencies excepted. The Uniform Act prohibits certain lease clauses outright, including waivers of tenant rights and confession of judgment provisions, and federal lead-based paint rules apply to pre-1978 Iowa dwellings.</w:t>
      </w:r>
    </w:p>
    <w:p>
      <w:pPr>
        <w:pStyle w:val="Heading2"/>
        <w:spacing w:after="120" w:before="300"/>
      </w:pPr>
      <w:r>
        <w:t xml:space="preserve">18. Required Disclosures in Iowa</w:t>
      </w:r>
    </w:p>
    <w:p>
      <w:pPr>
        <w:spacing w:after="120"/>
      </w:pPr>
      <w:r>
        <w:rPr>
          <w:sz w:val="22"/>
          <w:szCs w:val="22"/>
        </w:rPr>
        <w:t xml:space="preserve">Federal law requires the lead-based paint disclosure, records of known hazards, and the EPA pamphlet for any Iowa dwelling built before 1978. Iowa requires the landlord to disclose in writing the name and address of the owner or the agent authorized to manage the premises and to receive notices and service of process, before the tenancy begins. Iowa also requires disclosure of any known contamination from hazardous waste or environmental conditions affecting the property, and landlords commonly disclose radon testing results given elevated radon levels across much of the state. Where a deposit is collected, the lease should identify the institution holding it and explain the interest allocation between landlord and tenant. Verify each item against the current Iowa Code before finalizing your lease.</w:t>
      </w:r>
    </w:p>
    <w:p>
      <w:pPr>
        <w:pStyle w:val="Heading2"/>
        <w:spacing w:after="120" w:before="300"/>
      </w:pPr>
      <w:r>
        <w:t xml:space="preserve">19. Iowa Official Resources</w:t>
      </w:r>
    </w:p>
    <w:p>
      <w:pPr>
        <w:spacing w:after="120"/>
      </w:pPr>
      <w:r>
        <w:rPr>
          <w:sz w:val="22"/>
          <w:szCs w:val="22"/>
        </w:rPr>
        <w:t xml:space="preserve">For current statutes and official guidance, consult the Iowa Legislature (Iowa Code) (https://www.legis.iowa.gov).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Residential Lease Agreement</dc:title>
  <dc:creator>ScanContract</dc:creator>
  <dc:description>Download a free Iowa residential lease agreement template (PDF &amp; Word) with Iowa landlord-tenant highlights, required disclosures, and official resources.</dc:description>
  <cp:lastModifiedBy>Un-named</cp:lastModifiedBy>
  <cp:revision>1</cp:revision>
  <dcterms:created xsi:type="dcterms:W3CDTF">2026-08-16T12:32:40.527Z</dcterms:created>
  <dcterms:modified xsi:type="dcterms:W3CDTF">2026-08-16T12:32:40.527Z</dcterms:modified>
</cp:coreProperties>
</file>

<file path=docProps/custom.xml><?xml version="1.0" encoding="utf-8"?>
<Properties xmlns="http://schemas.openxmlformats.org/officeDocument/2006/custom-properties" xmlns:vt="http://schemas.openxmlformats.org/officeDocument/2006/docPropsVTypes"/>
</file>