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CONNECTICUT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Connecticut Landlord-Tenant Highlights</w:t>
      </w:r>
    </w:p>
    <w:p>
      <w:pPr>
        <w:spacing w:after="120"/>
      </w:pPr>
      <w:r>
        <w:rPr>
          <w:sz w:val="22"/>
          <w:szCs w:val="22"/>
        </w:rPr>
        <w:t xml:space="preserve">Connecticut caps security deposits at an amount tied to monthly rent — commonly two months' rent, reduced to one month's rent for tenants aged 62 and over — so confirm the current caps and the senior rule before collecting. Deposits must be held in an escrow account at a Connecticut financial institution and earn interest at the rate set annually by the state Banking Commissioner, with that interest paid or credited to the tenant. After the tenancy ends and the tenant provides a forwarding address, the landlord must return the deposit with accrued interest or deliver an itemized statement of damages within the statutory window, commonly [NUMBER] days, and failure can expose the landlord to double damages. Connecticut requires reasonable notice before entry and entry at reasonable times, with [NUMBER] hours the customary standard and emergencies excepted. Many Connecticut municipalities operate fair rent commissions empowered to review rent increases a tenant claims are excessive, and federal lead-based paint rules apply to the state's substantial pre-1978 housing stock.</w:t>
      </w:r>
    </w:p>
    <w:p>
      <w:pPr>
        <w:pStyle w:val="Heading2"/>
        <w:spacing w:after="120" w:before="300"/>
      </w:pPr>
      <w:r>
        <w:t xml:space="preserve">18. Required Disclosures in Connecticut</w:t>
      </w:r>
    </w:p>
    <w:p>
      <w:pPr>
        <w:spacing w:after="120"/>
      </w:pPr>
      <w:r>
        <w:rPr>
          <w:sz w:val="22"/>
          <w:szCs w:val="22"/>
        </w:rPr>
        <w:t xml:space="preserve">Connecticut has an unusually old housing stock, so the federal lead-based paint disclosure, hazard records, and EPA pamphlet apply very broadly here for units built before 1978. Landlords must disclose the name and address of the owner or the agent authorized to manage the premises and to receive notices and service of process. Where a deposit is collected, the landlord should identify the escrow institution and confirm the tenant's right to statutory interest, since both are affirmative obligations rather than courtesies. Connecticut also requires notice regarding the state fair rent commission process in many municipalities and requires bed bug related disclosures in certain circumstances. Verify current requirements against the Connecticut General Assembly statutes before finalizing your lease.</w:t>
      </w:r>
    </w:p>
    <w:p>
      <w:pPr>
        <w:pStyle w:val="Heading2"/>
        <w:spacing w:after="120" w:before="300"/>
      </w:pPr>
      <w:r>
        <w:t xml:space="preserve">19. Connecticut Official Resources</w:t>
      </w:r>
    </w:p>
    <w:p>
      <w:pPr>
        <w:spacing w:after="120"/>
      </w:pPr>
      <w:r>
        <w:rPr>
          <w:sz w:val="22"/>
          <w:szCs w:val="22"/>
        </w:rPr>
        <w:t xml:space="preserve">For current statutes and official guidance, consult the Connecticut General Assembly (Connecticut General Statutes) (https://www.cga.ct.gov).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Residential Lease Agreement</dc:title>
  <dc:creator>ScanContract</dc:creator>
  <dc:description>Download a free Connecticut residential lease agreement template (PDF &amp; Word) with Connecticut landlord-tenant highlights, required disclosures, and official resources.</dc:description>
  <cp:lastModifiedBy>Un-named</cp:lastModifiedBy>
  <cp:revision>1</cp:revision>
  <dcterms:created xsi:type="dcterms:W3CDTF">2026-08-16T12:32:40.433Z</dcterms:created>
  <dcterms:modified xsi:type="dcterms:W3CDTF">2026-08-16T12:32:40.433Z</dcterms:modified>
</cp:coreProperties>
</file>

<file path=docProps/custom.xml><?xml version="1.0" encoding="utf-8"?>
<Properties xmlns="http://schemas.openxmlformats.org/officeDocument/2006/custom-properties" xmlns:vt="http://schemas.openxmlformats.org/officeDocument/2006/docPropsVTypes"/>
</file>