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CALIFORNIA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California Landlord-Tenant Highlights</w:t>
      </w:r>
    </w:p>
    <w:p>
      <w:pPr>
        <w:spacing w:after="120"/>
      </w:pPr>
      <w:r>
        <w:rPr>
          <w:sz w:val="22"/>
          <w:szCs w:val="22"/>
        </w:rPr>
        <w:t xml:space="preserve">As of 2026, California generally caps security deposits at one month's rent for most residential tenancies following a 2024 statutory change, with a limited exception allowing certain small landlords to collect more — verify which rule applies to your property before collecting. After move-out, the landlord must return the deposit or provide an itemized statement of deductions within the statutory window, commonly 21 days, and must attach receipts or estimates when deductions exceed a statutory threshold. Landlords must generally give at least 24 hours' written notice before entering for repairs, inspections, or showings, with entry limited to normal business hours and emergencies excepted; California also gives tenants the right to request a pre-move-out inspection so they can cure issues before deductions are made. The Tenant Protection Act caps annual rent increases and imposes just-cause termination requirements for covered properties, and many cities add stricter local rent stabilization on top. Federal lead-based paint rules apply to pre-1978 units, and California adds its own mold, bed bug, flood, and Proposition 65 notice requirements.</w:t>
      </w:r>
    </w:p>
    <w:p>
      <w:pPr>
        <w:pStyle w:val="Heading2"/>
        <w:spacing w:after="120" w:before="300"/>
      </w:pPr>
      <w:r>
        <w:t xml:space="preserve">18. Required Disclosures in California</w:t>
      </w:r>
    </w:p>
    <w:p>
      <w:pPr>
        <w:spacing w:after="120"/>
      </w:pPr>
      <w:r>
        <w:rPr>
          <w:sz w:val="22"/>
          <w:szCs w:val="22"/>
        </w:rPr>
        <w:t xml:space="preserve">California has one of the longest disclosure lists in the country, starting with the federal lead-based paint disclosure and EPA pamphlet for any dwelling built before 1978. State law adds a mold notification where the landlord knows of mold exceeding safety standards, a bed bug information notice, a flood hazard disclosure where the property sits in a designated flood zone the landlord knows about, and a Proposition 65 warning where applicable chemicals are present. Tenancies covered by the Tenant Protection Act require a specific written notice of the rent cap and just-cause provisions, and exempt properties generally require an exemption notice in statutory language to preserve the exemption. Additional disclosures apply for demolition permits, shared utility metering, methamphetamine contamination, registered sex offender database availability, and smoking policy, and many cities require their own rent registration and tenant rights notices. Confirm the current list on the California Legislative Information site and with your city before finalizing the lease.</w:t>
      </w:r>
    </w:p>
    <w:p>
      <w:pPr>
        <w:pStyle w:val="Heading2"/>
        <w:spacing w:after="120" w:before="300"/>
      </w:pPr>
      <w:r>
        <w:t xml:space="preserve">19. California Official Resources</w:t>
      </w:r>
    </w:p>
    <w:p>
      <w:pPr>
        <w:spacing w:after="120"/>
      </w:pPr>
      <w:r>
        <w:rPr>
          <w:sz w:val="22"/>
          <w:szCs w:val="22"/>
        </w:rPr>
        <w:t xml:space="preserve">For current statutes and official guidance, consult California Legislative Information (official state statutes) (https://leginfo.legislature.ca.gov).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Residential Lease Agreement</dc:title>
  <dc:creator>ScanContract</dc:creator>
  <dc:description>Download a free California residential lease agreement template (PDF &amp; Word) with California landlord-tenant highlights, required disclosures, and official resources.</dc:description>
  <cp:lastModifiedBy>Un-named</cp:lastModifiedBy>
  <cp:revision>1</cp:revision>
  <dcterms:created xsi:type="dcterms:W3CDTF">2026-08-16T12:32:40.409Z</dcterms:created>
  <dcterms:modified xsi:type="dcterms:W3CDTF">2026-08-16T12:32:40.409Z</dcterms:modified>
</cp:coreProperties>
</file>

<file path=docProps/custom.xml><?xml version="1.0" encoding="utf-8"?>
<Properties xmlns="http://schemas.openxmlformats.org/officeDocument/2006/custom-properties" xmlns:vt="http://schemas.openxmlformats.org/officeDocument/2006/docPropsVTypes"/>
</file>