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WYOMING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Wyoming LLC Act Highlights</w:t>
      </w:r>
    </w:p>
    <w:p>
      <w:pPr>
        <w:spacing w:after="120"/>
      </w:pPr>
      <w:r>
        <w:rPr>
          <w:sz w:val="22"/>
          <w:szCs w:val="22"/>
        </w:rPr>
        <w:t xml:space="preserve">A Wyoming LLC is formed by filing Articles of Organization with the Secretary of State and maintaining a registered agent with a Wyoming address who has consented to serve. The Wyoming Limited Liability Company Act supplies defaults for management, voting, distributions, dissociation, and dissolution, and gives members wide latitude to displace them by agreement. Wyoming is best known for its charging order provisions, which make the charging order the exclusive remedy for a member’s personal judgment creditor and, unlike many states, extend that treatment to single-member LLCs by statute. The agreement can allocate distributions by percentage interest, elect manager-managed governance with defined authority limits, restrict transfers so an assignee receives economic rights only, define what triggers dissociation, and establish buyout valuation and payment terms. Wyoming also authorizes close LLCs with simplified governance and series LLCs with internally separated assets, both of which require deliberate drafting. Good faith and fair dealing and third-party rights remain non-waivable.</w:t>
      </w:r>
    </w:p>
    <w:p>
      <w:pPr>
        <w:pStyle w:val="Heading2"/>
        <w:spacing w:after="120" w:before="300"/>
      </w:pPr>
      <w:r>
        <w:t xml:space="preserve">17. Filing and Compliance in Wyoming</w:t>
      </w:r>
    </w:p>
    <w:p>
      <w:pPr>
        <w:spacing w:after="120"/>
      </w:pPr>
      <w:r>
        <w:rPr>
          <w:sz w:val="22"/>
          <w:szCs w:val="22"/>
        </w:rPr>
        <w:t xml:space="preserve">Filings run through the Wyoming Secretary of State’s business division and its online filing system. Wyoming LLCs file an annual report on the anniversary cycle, and the accompanying license tax is calculated on the value of assets located and employed in Wyoming, which for many out-of-state owners means the statutory minimum applies. Failing to file leads to the entity being dissolved administratively. The operating agreement is not filed and never becomes public. Wyoming has no state income tax, but sales and use tax applies to many in-state transactions through the Department of Revenue. Confirm the current annual report deadline, license tax calculation, and minimum amount with the Secretary of State.</w:t>
      </w:r>
    </w:p>
    <w:p>
      <w:pPr>
        <w:pStyle w:val="Heading2"/>
        <w:spacing w:after="120" w:before="300"/>
      </w:pPr>
      <w:r>
        <w:t xml:space="preserve">18. Wyoming Official Resources</w:t>
      </w:r>
    </w:p>
    <w:p>
      <w:pPr>
        <w:spacing w:after="120"/>
      </w:pPr>
      <w:r>
        <w:rPr>
          <w:sz w:val="22"/>
          <w:szCs w:val="22"/>
        </w:rPr>
        <w:t xml:space="preserve">For current statutes and official guidance, consult the Wyoming Secretary of State, Business Division (https://sos.wyo.gov).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Wyoming LLC Operating Agreement</dc:title>
  <dc:creator>ScanContract</dc:creator>
  <dc:description>Download a free Wyoming LLC operating agreement template (PDF &amp; Word) with Wyoming LLC act highlights, filing notes, and official state resources.</dc:description>
  <cp:lastModifiedBy>Un-named</cp:lastModifiedBy>
  <cp:revision>1</cp:revision>
  <dcterms:created xsi:type="dcterms:W3CDTF">2026-08-16T12:32:41.667Z</dcterms:created>
  <dcterms:modified xsi:type="dcterms:W3CDTF">2026-08-16T12:32:41.667Z</dcterms:modified>
</cp:coreProperties>
</file>

<file path=docProps/custom.xml><?xml version="1.0" encoding="utf-8"?>
<Properties xmlns="http://schemas.openxmlformats.org/officeDocument/2006/custom-properties" xmlns:vt="http://schemas.openxmlformats.org/officeDocument/2006/docPropsVTypes"/>
</file>