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WISCONSIN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Wisconsin LLC Act Highlights</w:t>
      </w:r>
    </w:p>
    <w:p>
      <w:pPr>
        <w:spacing w:after="120"/>
      </w:pPr>
      <w:r>
        <w:rPr>
          <w:sz w:val="22"/>
          <w:szCs w:val="22"/>
        </w:rPr>
        <w:t xml:space="preserve">A Wisconsin LLC is formed by filing Articles of Organization with the Department of Financial Institutions and maintaining a registered agent with a Wisconsin address. The rewritten Chapter 183 follows the revised uniform act, making the operating agreement the governing document for relations among members and managers and applying statutory defaults only where the agreement is silent. The revised defaults changed several things that older Wisconsin LLCs took for granted, including aspects of voting, distributions, fiduciary duties, and dissociation, so an agreement drafted under the prior chapter may now interact with the statute differently than intended. Members can override most defaults by allocating distributions by percentage interest, electing manager-managed governance with defined authority, restricting transfers to economic rights only, defining dissociation triggers and consequences, and setting a buyout valuation and payment schedule. Good faith and fair dealing and reasonable record access remain non-waivable. Single-member LLCs are recognized under the same chapter.</w:t>
      </w:r>
    </w:p>
    <w:p>
      <w:pPr>
        <w:pStyle w:val="Heading2"/>
        <w:spacing w:after="120" w:before="300"/>
      </w:pPr>
      <w:r>
        <w:t xml:space="preserve">17. Filing and Compliance in Wisconsin</w:t>
      </w:r>
    </w:p>
    <w:p>
      <w:pPr>
        <w:spacing w:after="120"/>
      </w:pPr>
      <w:r>
        <w:rPr>
          <w:sz w:val="22"/>
          <w:szCs w:val="22"/>
        </w:rPr>
        <w:t xml:space="preserve">Formation, registered agent changes, and annual reports are filed with the Wisconsin Department of Financial Institutions through its online business filing system, not with a Secretary of State office. Wisconsin LLCs file an annual report to remain in good standing, and missed reports can lead to administrative dissolution and a reinstatement process. The operating agreement is not filed and stays private. Businesses with employees or taxable sales register separately with the Wisconsin Department of Revenue. Confirm the current annual report deadline and fee with the Department of Financial Institutions, and if your LLC predates the Chapter 183 rewrite, check how the transition rules apply to your company.</w:t>
      </w:r>
    </w:p>
    <w:p>
      <w:pPr>
        <w:pStyle w:val="Heading2"/>
        <w:spacing w:after="120" w:before="300"/>
      </w:pPr>
      <w:r>
        <w:t xml:space="preserve">18. Wisconsin Official Resources</w:t>
      </w:r>
    </w:p>
    <w:p>
      <w:pPr>
        <w:spacing w:after="120"/>
      </w:pPr>
      <w:r>
        <w:rPr>
          <w:sz w:val="22"/>
          <w:szCs w:val="22"/>
        </w:rPr>
        <w:t xml:space="preserve">For current statutes and official guidance, consult the Wisconsin Department of Financial Institutions, Division of Corporate and Consumer Services (https://www.wdfi.org).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Wisconsin LLC Operating Agreement</dc:title>
  <dc:creator>ScanContract</dc:creator>
  <dc:description>Download a free Wisconsin LLC operating agreement template (PDF &amp; Word) with Wisconsin LLC act highlights, filing notes, and official state resources.</dc:description>
  <cp:lastModifiedBy>Un-named</cp:lastModifiedBy>
  <cp:revision>1</cp:revision>
  <dcterms:created xsi:type="dcterms:W3CDTF">2026-08-16T12:32:41.653Z</dcterms:created>
  <dcterms:modified xsi:type="dcterms:W3CDTF">2026-08-16T12:32:41.653Z</dcterms:modified>
</cp:coreProperties>
</file>

<file path=docProps/custom.xml><?xml version="1.0" encoding="utf-8"?>
<Properties xmlns="http://schemas.openxmlformats.org/officeDocument/2006/custom-properties" xmlns:vt="http://schemas.openxmlformats.org/officeDocument/2006/docPropsVTypes"/>
</file>