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WEST VIRGINIA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West Virginia LLC Act Highlights</w:t>
      </w:r>
    </w:p>
    <w:p>
      <w:pPr>
        <w:spacing w:after="120"/>
      </w:pPr>
      <w:r>
        <w:rPr>
          <w:sz w:val="22"/>
          <w:szCs w:val="22"/>
        </w:rPr>
        <w:t xml:space="preserve">A West Virginia LLC is formed by filing Articles of Organization with the Secretary of State and maintaining a registered agent with a West Virginia address. Under the West Virginia Uniform Limited Liability Company Act, the operating agreement governs relations among the members, the rights and duties of managers, and the conduct of the company’s activities, with statutory defaults filling any gaps. The uniform defaults treat the company as member-managed, give each member an equal vote, and distribute in equal shares regardless of contribution, so members who invested unequally should expect to override them. The agreement can allocate distributions by percentage interest, elect manager-managed governance and specify what a manager may approve, restrict transfers so an assignee receives only economic rights, define dissociation and its consequences, and set a buyout formula. Good faith and fair dealing, reasonable record access, and third-party rights are outside what the agreement can eliminate. Single-member LLCs are recognized and use the same formation process.</w:t>
      </w:r>
    </w:p>
    <w:p>
      <w:pPr>
        <w:pStyle w:val="Heading2"/>
        <w:spacing w:after="120" w:before="300"/>
      </w:pPr>
      <w:r>
        <w:t xml:space="preserve">17. Filing and Compliance in West Virginia</w:t>
      </w:r>
    </w:p>
    <w:p>
      <w:pPr>
        <w:spacing w:after="120"/>
      </w:pPr>
      <w:r>
        <w:rPr>
          <w:sz w:val="22"/>
          <w:szCs w:val="22"/>
        </w:rPr>
        <w:t xml:space="preserve">Entity filings run through the West Virginia Secretary of State’s business and licensing division, and the state’s One Stop Business Portal bundles formation with tax and agency registrations. Most businesses operating in West Virginia must also obtain a business registration certificate from the State Tax Division, which is separate from the entity filing and is commonly overlooked. West Virginia LLCs file an annual report with the Secretary of State on a fixed statewide schedule rather than an anniversary date, and missed filings can lead to administrative dissolution. The operating agreement is not filed and stays private. Confirm the current annual report deadline, fees, and business registration certificate requirements with the Secretary of State and the Tax Division.</w:t>
      </w:r>
    </w:p>
    <w:p>
      <w:pPr>
        <w:pStyle w:val="Heading2"/>
        <w:spacing w:after="120" w:before="300"/>
      </w:pPr>
      <w:r>
        <w:t xml:space="preserve">18. West Virginia Official Resources</w:t>
      </w:r>
    </w:p>
    <w:p>
      <w:pPr>
        <w:spacing w:after="120"/>
      </w:pPr>
      <w:r>
        <w:rPr>
          <w:sz w:val="22"/>
          <w:szCs w:val="22"/>
        </w:rPr>
        <w:t xml:space="preserve">For current statutes and official guidance, consult the West Virginia Secretary of State, Business and Licensing Division (https://sos.wv.gov).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Virginia LLC Operating Agreement</dc:title>
  <dc:creator>ScanContract</dc:creator>
  <dc:description>Download a free West Virginia LLC operating agreement template (PDF &amp; Word) with West Virginia LLC act highlights, filing notes, and official state resources.</dc:description>
  <cp:lastModifiedBy>Un-named</cp:lastModifiedBy>
  <cp:revision>1</cp:revision>
  <dcterms:created xsi:type="dcterms:W3CDTF">2026-08-16T12:32:41.640Z</dcterms:created>
  <dcterms:modified xsi:type="dcterms:W3CDTF">2026-08-16T12:32:41.640Z</dcterms:modified>
</cp:coreProperties>
</file>

<file path=docProps/custom.xml><?xml version="1.0" encoding="utf-8"?>
<Properties xmlns="http://schemas.openxmlformats.org/officeDocument/2006/custom-properties" xmlns:vt="http://schemas.openxmlformats.org/officeDocument/2006/docPropsVTypes"/>
</file>