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WASHINGTON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Washington LLC Act Highlights</w:t>
      </w:r>
    </w:p>
    <w:p>
      <w:pPr>
        <w:spacing w:after="120"/>
      </w:pPr>
      <w:r>
        <w:rPr>
          <w:sz w:val="22"/>
          <w:szCs w:val="22"/>
        </w:rPr>
        <w:t xml:space="preserve">A Washington LLC is formed by filing a Certificate of Formation with the Secretary of State and maintaining a registered agent with a Washington street address. Under the Washington Limited Liability Company Act, the operating agreement governs relations among members, the rights and duties of managers, and the activities of the company, with the statute supplying defaults only where the agreement is silent. The revised uniform defaults include member management, equal voting, and equal-share distributions regardless of contribution, which is frequently the first thing founders change. The agreement can allocate distributions by percentage interest, adopt manager-managed governance with defined authority, impose transfer restrictions and rights of first refusal, add vesting or forfeiture terms for founder interests, define dissociation events, and set buyout valuation and payment terms. Washington preserves a non-waivable core including good faith and fair dealing and reasonable record access. Single-member LLCs are recognized and formed the same way.</w:t>
      </w:r>
    </w:p>
    <w:p>
      <w:pPr>
        <w:pStyle w:val="Heading2"/>
        <w:spacing w:after="120" w:before="300"/>
      </w:pPr>
      <w:r>
        <w:t xml:space="preserve">17. Filing and Compliance in Washington</w:t>
      </w:r>
    </w:p>
    <w:p>
      <w:pPr>
        <w:spacing w:after="120"/>
      </w:pPr>
      <w:r>
        <w:rPr>
          <w:sz w:val="22"/>
          <w:szCs w:val="22"/>
        </w:rPr>
        <w:t xml:space="preserve">Filings go through the Washington Secretary of State’s Corporations and Charities Division and its online filing system. Washington requires a newly formed LLC to file an initial report within a short window after formation, and then an annual report on the anniversary cycle to remain active, with administrative dissolution as the consequence of prolonged non-filing. The operating agreement is not filed and stays private. Separately, most Washington businesses register with the Department of Revenue through the state Business Licensing Service and file Business and Occupation tax returns, and many cities require their own license and local B and O filing. Confirm the current initial report deadline, annual report fee, and B and O classifications and rates with the Secretary of State and Department of Revenue.</w:t>
      </w:r>
    </w:p>
    <w:p>
      <w:pPr>
        <w:pStyle w:val="Heading2"/>
        <w:spacing w:after="120" w:before="300"/>
      </w:pPr>
      <w:r>
        <w:t xml:space="preserve">18. Washington Official Resources</w:t>
      </w:r>
    </w:p>
    <w:p>
      <w:pPr>
        <w:spacing w:after="120"/>
      </w:pPr>
      <w:r>
        <w:rPr>
          <w:sz w:val="22"/>
          <w:szCs w:val="22"/>
        </w:rPr>
        <w:t xml:space="preserve">For current statutes and official guidance, consult the Washington Secretary of State, Corporations and Charities Division (https://www.sos.wa.gov).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LLC Operating Agreement</dc:title>
  <dc:creator>ScanContract</dc:creator>
  <dc:description>Download a free Washington LLC operating agreement template (PDF &amp; Word) with Washington LLC act highlights, filing notes, and official state resources.</dc:description>
  <cp:lastModifiedBy>Un-named</cp:lastModifiedBy>
  <cp:revision>1</cp:revision>
  <dcterms:created xsi:type="dcterms:W3CDTF">2026-08-16T12:32:41.626Z</dcterms:created>
  <dcterms:modified xsi:type="dcterms:W3CDTF">2026-08-16T12:32:41.626Z</dcterms:modified>
</cp:coreProperties>
</file>

<file path=docProps/custom.xml><?xml version="1.0" encoding="utf-8"?>
<Properties xmlns="http://schemas.openxmlformats.org/officeDocument/2006/custom-properties" xmlns:vt="http://schemas.openxmlformats.org/officeDocument/2006/docPropsVTypes"/>
</file>