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VERMONT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Vermont LLC Act Highlights</w:t>
      </w:r>
    </w:p>
    <w:p>
      <w:pPr>
        <w:spacing w:after="120"/>
      </w:pPr>
      <w:r>
        <w:rPr>
          <w:sz w:val="22"/>
          <w:szCs w:val="22"/>
        </w:rPr>
        <w:t xml:space="preserve">A Vermont LLC is formed by filing Articles of Organization with the Secretary of State’s Corporations Division and maintaining a registered agent with a Vermont address. The Vermont Limited Liability Company Act supplies defaults for management, voting, distributions, dissociation, and dissolution, and provides that the operating agreement controls where it addresses those subjects. Practical overrides include allocating distributions and voting rights by capital contributed rather than equally, electing manager-managed governance with clear authority limits, restricting transfers so an assignee obtains economic rights only, defining what events cause a member to be dissociated, and fixing a valuation method for buyouts. Vermont also permits the low-profit L3C form, which requires the organizing documents and operating agreement to state a qualifying charitable or educational purpose and to subordinate profit as a significant purpose. Good faith and fair dealing and the rights of third parties remain non-waivable. Single-member LLCs are recognized.</w:t>
      </w:r>
    </w:p>
    <w:p>
      <w:pPr>
        <w:pStyle w:val="Heading2"/>
        <w:spacing w:after="120" w:before="300"/>
      </w:pPr>
      <w:r>
        <w:t xml:space="preserve">17. Filing and Compliance in Vermont</w:t>
      </w:r>
    </w:p>
    <w:p>
      <w:pPr>
        <w:spacing w:after="120"/>
      </w:pPr>
      <w:r>
        <w:rPr>
          <w:sz w:val="22"/>
          <w:szCs w:val="22"/>
        </w:rPr>
        <w:t xml:space="preserve">The Vermont Secretary of State’s Corporations Division handles Articles of Organization, registered agent changes, and annual reports through its online business service center. Vermont LLCs file an annual report each year, and failing to file can lead to termination of the entity and a reinstatement process. The operating agreement is not filed and stays private. Vermont has historically imposed a minimum business entity tax on LLCs administered by the Department of Taxes, so plan for an entity-level payment separate from the Secretary of State fee. Verify the current annual report window, filing fee, and minimum entity tax with the Secretary of State and the Department of Taxes.</w:t>
      </w:r>
    </w:p>
    <w:p>
      <w:pPr>
        <w:pStyle w:val="Heading2"/>
        <w:spacing w:after="120" w:before="300"/>
      </w:pPr>
      <w:r>
        <w:t xml:space="preserve">18. Vermont Official Resources</w:t>
      </w:r>
    </w:p>
    <w:p>
      <w:pPr>
        <w:spacing w:after="120"/>
      </w:pPr>
      <w:r>
        <w:rPr>
          <w:sz w:val="22"/>
          <w:szCs w:val="22"/>
        </w:rPr>
        <w:t xml:space="preserve">For current statutes and official guidance, consult the Vermont Secretary of State, Corporations Division (https://sos.vermont.gov).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Vermont LLC Operating Agreement</dc:title>
  <dc:creator>ScanContract</dc:creator>
  <dc:description>Download a free Vermont LLC operating agreement template (PDF &amp; Word) with Vermont LLC act highlights, filing notes, and official state resources.</dc:description>
  <cp:lastModifiedBy>Un-named</cp:lastModifiedBy>
  <cp:revision>1</cp:revision>
  <dcterms:created xsi:type="dcterms:W3CDTF">2026-08-16T12:32:41.599Z</dcterms:created>
  <dcterms:modified xsi:type="dcterms:W3CDTF">2026-08-16T12:32:41.599Z</dcterms:modified>
</cp:coreProperties>
</file>

<file path=docProps/custom.xml><?xml version="1.0" encoding="utf-8"?>
<Properties xmlns="http://schemas.openxmlformats.org/officeDocument/2006/custom-properties" xmlns:vt="http://schemas.openxmlformats.org/officeDocument/2006/docPropsVTypes"/>
</file>