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TENNESSEE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Tennessee LLC Act Highlights</w:t>
      </w:r>
    </w:p>
    <w:p>
      <w:pPr>
        <w:spacing w:after="120"/>
      </w:pPr>
      <w:r>
        <w:rPr>
          <w:sz w:val="22"/>
          <w:szCs w:val="22"/>
        </w:rPr>
        <w:t xml:space="preserve">A Tennessee LLC is formed by filing Articles of Organization with the Secretary of State and maintaining a registered agent with a Tennessee address. The Tennessee Revised Limited Liability Company Act offers three governance structures, member-managed, manager-managed, and director-managed, which is broader than most states and makes it important for the operating agreement to state clearly which model applies and what authority each role carries. Statutory defaults cover voting, distributions, dissociation, and dissolution, and the agreement can displace nearly all of them, including by allocating distributions by percentage interest, requiring supermajority approval for major transactions, restricting transfers to economic rights only, and setting buyout terms. The agreement should also address tax distributions, since Tennessee franchise and excise tax and federal pass-through treatment can leave members with tax liability on income they have not received in cash. Good faith and fair dealing and record access remain non-waivable. Single-member LLCs are recognized.</w:t>
      </w:r>
    </w:p>
    <w:p>
      <w:pPr>
        <w:pStyle w:val="Heading2"/>
        <w:spacing w:after="120" w:before="300"/>
      </w:pPr>
      <w:r>
        <w:t xml:space="preserve">17. Filing and Compliance in Tennessee</w:t>
      </w:r>
    </w:p>
    <w:p>
      <w:pPr>
        <w:spacing w:after="120"/>
      </w:pPr>
      <w:r>
        <w:rPr>
          <w:sz w:val="22"/>
          <w:szCs w:val="22"/>
        </w:rPr>
        <w:t xml:space="preserve">The Tennessee Secretary of State’s business services division handles Articles of Organization, registered agent changes, and annual reports online. Tennessee LLCs file an annual report each year, and the fee is calculated based on the number of members subject to a statutory minimum and maximum, so a company that admits several members pays more than a single-member LLC. Missing the report can lead to administrative dissolution. Separately, most Tennessee LLCs register with the Department of Revenue for franchise and excise tax, and some qualify for statutory exemptions that must be claimed rather than applied automatically. The operating agreement is not filed and stays private. Confirm current per-member fee amounts, the minimum and maximum, and franchise and excise tax rules with the Secretary of State and Department of Revenue.</w:t>
      </w:r>
    </w:p>
    <w:p>
      <w:pPr>
        <w:pStyle w:val="Heading2"/>
        <w:spacing w:after="120" w:before="300"/>
      </w:pPr>
      <w:r>
        <w:t xml:space="preserve">18. Tennessee Official Resources</w:t>
      </w:r>
    </w:p>
    <w:p>
      <w:pPr>
        <w:spacing w:after="120"/>
      </w:pPr>
      <w:r>
        <w:rPr>
          <w:sz w:val="22"/>
          <w:szCs w:val="22"/>
        </w:rPr>
        <w:t xml:space="preserve">For current statutes and official guidance, consult the Tennessee Secretary of State, Division of Business Services (https://sos.tn.gov).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Tennessee LLC Operating Agreement</dc:title>
  <dc:creator>ScanContract</dc:creator>
  <dc:description>Download a free Tennessee LLC operating agreement template (PDF &amp; Word) with Tennessee LLC act highlights, filing notes, and official state resources.</dc:description>
  <cp:lastModifiedBy>Un-named</cp:lastModifiedBy>
  <cp:revision>1</cp:revision>
  <dcterms:created xsi:type="dcterms:W3CDTF">2026-08-16T12:32:41.552Z</dcterms:created>
  <dcterms:modified xsi:type="dcterms:W3CDTF">2026-08-16T12:32:41.552Z</dcterms:modified>
</cp:coreProperties>
</file>

<file path=docProps/custom.xml><?xml version="1.0" encoding="utf-8"?>
<Properties xmlns="http://schemas.openxmlformats.org/officeDocument/2006/custom-properties" xmlns:vt="http://schemas.openxmlformats.org/officeDocument/2006/docPropsVTypes"/>
</file>