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SOUTH DAKOTA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South Dakota LLC Act Highlights</w:t>
      </w:r>
    </w:p>
    <w:p>
      <w:pPr>
        <w:spacing w:after="120"/>
      </w:pPr>
      <w:r>
        <w:rPr>
          <w:sz w:val="22"/>
          <w:szCs w:val="22"/>
        </w:rPr>
        <w:t xml:space="preserve">A South Dakota LLC is formed by filing Articles of Organization with the Secretary of State and maintaining a registered agent with a South Dakota address. The statute supplies defaults for management structure, member voting, distributions, transfers of interests, dissociation, and winding up, and it defers to the operating agreement wherever the agreement addresses a subject. Members commonly displace defaults to tie distributions and voting to capital contributed, to elect manager-managed governance and set explicit limits on what a manager can approve, to restrict transfers so outsiders cannot become voting members, and to establish a valuation method and payment terms for buying out a departing or deceased member. The agreement can also govern deadlock, capital calls, and whether members owe each other any duty beyond the statutory floor. Good faith and fair dealing and the rights of third parties remain non-waivable. Single-member LLCs are recognized and enjoy the same liability protection.</w:t>
      </w:r>
    </w:p>
    <w:p>
      <w:pPr>
        <w:pStyle w:val="Heading2"/>
        <w:spacing w:after="120" w:before="300"/>
      </w:pPr>
      <w:r>
        <w:t xml:space="preserve">17. Filing and Compliance in South Dakota</w:t>
      </w:r>
    </w:p>
    <w:p>
      <w:pPr>
        <w:spacing w:after="120"/>
      </w:pPr>
      <w:r>
        <w:rPr>
          <w:sz w:val="22"/>
          <w:szCs w:val="22"/>
        </w:rPr>
        <w:t xml:space="preserve">The South Dakota Secretary of State’s business services division handles Articles of Organization, registered agent updates, and annual reports through its online filing portal. South Dakota LLCs file an annual report on an anniversary-based cycle, and letting it lapse can result in administrative dissolution. The operating agreement is not filed and never appears in the public record. South Dakota has no state income tax, but businesses selling goods or taxable services register with the Department of Revenue for sales and use tax, and some municipalities add local rates. Confirm the current annual report deadline and fee with the Secretary of State before relying on any figure.</w:t>
      </w:r>
    </w:p>
    <w:p>
      <w:pPr>
        <w:pStyle w:val="Heading2"/>
        <w:spacing w:after="120" w:before="300"/>
      </w:pPr>
      <w:r>
        <w:t xml:space="preserve">18. South Dakota Official Resources</w:t>
      </w:r>
    </w:p>
    <w:p>
      <w:pPr>
        <w:spacing w:after="120"/>
      </w:pPr>
      <w:r>
        <w:rPr>
          <w:sz w:val="22"/>
          <w:szCs w:val="22"/>
        </w:rPr>
        <w:t xml:space="preserve">For current statutes and official guidance, consult the South Dakota Secretary of State, Business Services Division (https://sdsos.gov).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Dakota LLC Operating Agreement</dc:title>
  <dc:creator>ScanContract</dc:creator>
  <dc:description>Download a free South Dakota LLC operating agreement template (PDF &amp; Word) with South Dakota LLC act highlights, filing notes, and official state resources.</dc:description>
  <cp:lastModifiedBy>Un-named</cp:lastModifiedBy>
  <cp:revision>1</cp:revision>
  <dcterms:created xsi:type="dcterms:W3CDTF">2026-08-16T12:32:41.534Z</dcterms:created>
  <dcterms:modified xsi:type="dcterms:W3CDTF">2026-08-16T12:32:41.534Z</dcterms:modified>
</cp:coreProperties>
</file>

<file path=docProps/custom.xml><?xml version="1.0" encoding="utf-8"?>
<Properties xmlns="http://schemas.openxmlformats.org/officeDocument/2006/custom-properties" xmlns:vt="http://schemas.openxmlformats.org/officeDocument/2006/docPropsVTypes"/>
</file>