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PENNSYLVANIA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Pennsylvania LLC Act Highlights</w:t>
      </w:r>
    </w:p>
    <w:p>
      <w:pPr>
        <w:spacing w:after="120"/>
      </w:pPr>
      <w:r>
        <w:rPr>
          <w:sz w:val="22"/>
          <w:szCs w:val="22"/>
        </w:rPr>
        <w:t xml:space="preserve">A Pennsylvania LLC is formed by filing a Certificate of Organization with the Bureau of Corporations and Charitable Organizations, accompanied by a docketing statement, and it must maintain a registered office in Pennsylvania. Title 15 supplies defaults covering management structure, voting, distributions, dissociation, and dissolution, and provides that the operating agreement governs those relations except for a limited list of non-waivable items. Members commonly override the defaults to set distributions and voting in proportion to capital contributed, to adopt manager-managed governance with defined authority, to restrict transfers to economic rights only, and to fix buyout terms when a member exits. Pennsylvania’s non-waivable list includes the obligation of good faith and fair dealing, unreasonable restrictions on the right to records, and terms that would harm third parties. Single-member LLCs are recognized. Licensed professionals should also review the restricted professional company rules, which impose additional requirements on top of the ordinary LLC provisions.</w:t>
      </w:r>
    </w:p>
    <w:p>
      <w:pPr>
        <w:pStyle w:val="Heading2"/>
        <w:spacing w:after="120" w:before="300"/>
      </w:pPr>
      <w:r>
        <w:t xml:space="preserve">17. Filing and Compliance in Pennsylvania</w:t>
      </w:r>
    </w:p>
    <w:p>
      <w:pPr>
        <w:spacing w:after="120"/>
      </w:pPr>
      <w:r>
        <w:rPr>
          <w:sz w:val="22"/>
          <w:szCs w:val="22"/>
        </w:rPr>
        <w:t xml:space="preserve">Filings go through the Pennsylvania Department of State, Bureau of Corporations and Charitable Organizations, using its online business filing system. As of 2026, Pennsylvania has moved from the old decennial report to an annual report requirement for LLCs, and failing to file can eventually put the entity at risk of administrative dissolution and loss of exclusive name rights. The operating agreement is not filed and remains private. Businesses may separately register with the Department of Revenue for sales tax and employer withholding, and Philadelphia and other localities impose their own business taxes. Confirm the current annual report window and fee with the Department of State, since the transition rules have been phased in.</w:t>
      </w:r>
    </w:p>
    <w:p>
      <w:pPr>
        <w:pStyle w:val="Heading2"/>
        <w:spacing w:after="120" w:before="300"/>
      </w:pPr>
      <w:r>
        <w:t xml:space="preserve">18. Pennsylvania Official Resources</w:t>
      </w:r>
    </w:p>
    <w:p>
      <w:pPr>
        <w:spacing w:after="120"/>
      </w:pPr>
      <w:r>
        <w:rPr>
          <w:sz w:val="22"/>
          <w:szCs w:val="22"/>
        </w:rPr>
        <w:t xml:space="preserve">For current statutes and official guidance, consult the Pennsylvania Department of State, Bureau of Corporations and Charitable Organizations (https://www.dos.pa.gov).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Pennsylvania LLC Operating Agreement</dc:title>
  <dc:creator>ScanContract</dc:creator>
  <dc:description>Download a free Pennsylvania LLC operating agreement template (PDF &amp; Word) with Pennsylvania LLC act highlights, filing notes, and official state resources.</dc:description>
  <cp:lastModifiedBy>Un-named</cp:lastModifiedBy>
  <cp:revision>1</cp:revision>
  <dcterms:created xsi:type="dcterms:W3CDTF">2026-08-16T12:32:41.485Z</dcterms:created>
  <dcterms:modified xsi:type="dcterms:W3CDTF">2026-08-16T12:32:41.485Z</dcterms:modified>
</cp:coreProperties>
</file>

<file path=docProps/custom.xml><?xml version="1.0" encoding="utf-8"?>
<Properties xmlns="http://schemas.openxmlformats.org/officeDocument/2006/custom-properties" xmlns:vt="http://schemas.openxmlformats.org/officeDocument/2006/docPropsVTypes"/>
</file>