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OKLAHOMA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Oklahoma LLC Act Highlights</w:t>
      </w:r>
    </w:p>
    <w:p>
      <w:pPr>
        <w:spacing w:after="120"/>
      </w:pPr>
      <w:r>
        <w:rPr>
          <w:sz w:val="22"/>
          <w:szCs w:val="22"/>
        </w:rPr>
        <w:t xml:space="preserve">An Oklahoma LLC is formed by filing Articles of Organization with the Secretary of State and maintaining a registered agent with an Oklahoma address. The Oklahoma Limited Liability Company Act sets defaults for voting, management, allocations of profit and loss, transfer of interests, and dissolution, and provides that the operating agreement controls where it addresses a subject. Members frequently override the defaults to allocate distributions in proportion to capital contributed, to elect manager-managed governance and define exactly what the manager can commit the company to, to require member consent before an interest is transferred, and to set the valuation and payment terms for buying out a departing member. The act also allows the agreement to define what constitutes a dissociation event and whether it triggers dissolution. Non-waivable elements remain, including good faith and fair dealing and the protection of third parties. Single-member LLCs are recognized and can be formed with one person acting as both sole member and sole manager.</w:t>
      </w:r>
    </w:p>
    <w:p>
      <w:pPr>
        <w:pStyle w:val="Heading2"/>
        <w:spacing w:after="120" w:before="300"/>
      </w:pPr>
      <w:r>
        <w:t xml:space="preserve">17. Filing and Compliance in Oklahoma</w:t>
      </w:r>
    </w:p>
    <w:p>
      <w:pPr>
        <w:spacing w:after="120"/>
      </w:pPr>
      <w:r>
        <w:rPr>
          <w:sz w:val="22"/>
          <w:szCs w:val="22"/>
        </w:rPr>
        <w:t xml:space="preserve">The Oklahoma Secretary of State’s business filing division handles Articles of Organization, registered agent changes, and the annual certificate through its online system. Oklahoma LLCs file the annual certificate on the anniversary of formation, and missing it can lead to the entity being cancelled and requiring reinstatement. The operating agreement is not filed and never becomes public. Depending on the business, registration with the Oklahoma Tax Commission and municipal licensing may also apply. Confirm the current annual certificate fee and deadline with the Secretary of State, since fees are set by statute and change over time.</w:t>
      </w:r>
    </w:p>
    <w:p>
      <w:pPr>
        <w:pStyle w:val="Heading2"/>
        <w:spacing w:after="120" w:before="300"/>
      </w:pPr>
      <w:r>
        <w:t xml:space="preserve">18. Oklahoma Official Resources</w:t>
      </w:r>
    </w:p>
    <w:p>
      <w:pPr>
        <w:spacing w:after="120"/>
      </w:pPr>
      <w:r>
        <w:rPr>
          <w:sz w:val="22"/>
          <w:szCs w:val="22"/>
        </w:rPr>
        <w:t xml:space="preserve">For current statutes and official guidance, consult the Oklahoma Secretary of State, Business Filing Department (https://www.sos.ok.gov).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Oklahoma LLC Operating Agreement</dc:title>
  <dc:creator>ScanContract</dc:creator>
  <dc:description>Download a free Oklahoma LLC operating agreement template (PDF &amp; Word) with Oklahoma LLC act highlights, filing notes, and official state resources.</dc:description>
  <cp:lastModifiedBy>Un-named</cp:lastModifiedBy>
  <cp:revision>1</cp:revision>
  <dcterms:created xsi:type="dcterms:W3CDTF">2026-08-16T12:32:41.450Z</dcterms:created>
  <dcterms:modified xsi:type="dcterms:W3CDTF">2026-08-16T12:32:41.450Z</dcterms:modified>
</cp:coreProperties>
</file>

<file path=docProps/custom.xml><?xml version="1.0" encoding="utf-8"?>
<Properties xmlns="http://schemas.openxmlformats.org/officeDocument/2006/custom-properties" xmlns:vt="http://schemas.openxmlformats.org/officeDocument/2006/docPropsVTypes"/>
</file>