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NORTH DAKOTA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North Dakota LLC Act Highlights</w:t>
      </w:r>
    </w:p>
    <w:p>
      <w:pPr>
        <w:spacing w:after="120"/>
      </w:pPr>
      <w:r>
        <w:rPr>
          <w:sz w:val="22"/>
          <w:szCs w:val="22"/>
        </w:rPr>
        <w:t xml:space="preserve">A North Dakota LLC is formed by filing Articles of Organization with the Secretary of State and continuously maintaining a registered agent with a North Dakota address. The statute supplies default governance rules covering member voting, management structure, distributions, transfers, and dissolution, and lets the operating agreement displace most of them. Members commonly override the defaults to tie voting power and distributions to capital contributed, to elect manager-managed governance with explicit authority limits, to require consent before an interest may be transferred to an outsider, and to set the mechanics and price for buying out a member who dies, withdraws, or is removed. North Dakota preserves a non-waivable floor, including good faith and fair dealing and the protection of persons who are not parties to the agreement. Single-member LLCs are recognized and receive the same liability shield as multi-member companies. Because the state does not review the agreement, its enforceability turns entirely on how clearly it is drafted and signed.</w:t>
      </w:r>
    </w:p>
    <w:p>
      <w:pPr>
        <w:pStyle w:val="Heading2"/>
        <w:spacing w:after="120" w:before="300"/>
      </w:pPr>
      <w:r>
        <w:t xml:space="preserve">17. Filing and Compliance in North Dakota</w:t>
      </w:r>
    </w:p>
    <w:p>
      <w:pPr>
        <w:spacing w:after="120"/>
      </w:pPr>
      <w:r>
        <w:rPr>
          <w:sz w:val="22"/>
          <w:szCs w:val="22"/>
        </w:rPr>
        <w:t xml:space="preserve">The North Dakota Secretary of State’s business division handles Articles of Organization, registered agent updates, and annual reports through its FirstStop online system. North Dakota LLCs file an annual report on a fixed statewide date rather than on the entity’s formation anniversary, so calendar it once and it repeats. Failing to file can lead to the entity falling out of good standing and eventually being dissolved. The operating agreement is not filed and stays private. Sales and employment taxes are handled separately by the Office of State Tax Commissioner. Confirm the current annual report date and fee with the Secretary of State before relying on it.</w:t>
      </w:r>
    </w:p>
    <w:p>
      <w:pPr>
        <w:pStyle w:val="Heading2"/>
        <w:spacing w:after="120" w:before="300"/>
      </w:pPr>
      <w:r>
        <w:t xml:space="preserve">18. North Dakota Official Resources</w:t>
      </w:r>
    </w:p>
    <w:p>
      <w:pPr>
        <w:spacing w:after="120"/>
      </w:pPr>
      <w:r>
        <w:rPr>
          <w:sz w:val="22"/>
          <w:szCs w:val="22"/>
        </w:rPr>
        <w:t xml:space="preserve">For current statutes and official guidance, consult the North Dakota Secretary of State, Business Services Division (https://sos.nd.gov).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Dakota LLC Operating Agreement</dc:title>
  <dc:creator>ScanContract</dc:creator>
  <dc:description>Download a free North Dakota LLC operating agreement template (PDF &amp; Word) with North Dakota LLC act highlights, filing notes, and official state resources.</dc:description>
  <cp:lastModifiedBy>Un-named</cp:lastModifiedBy>
  <cp:revision>1</cp:revision>
  <dcterms:created xsi:type="dcterms:W3CDTF">2026-08-16T12:32:41.419Z</dcterms:created>
  <dcterms:modified xsi:type="dcterms:W3CDTF">2026-08-16T12:32:41.419Z</dcterms:modified>
</cp:coreProperties>
</file>

<file path=docProps/custom.xml><?xml version="1.0" encoding="utf-8"?>
<Properties xmlns="http://schemas.openxmlformats.org/officeDocument/2006/custom-properties" xmlns:vt="http://schemas.openxmlformats.org/officeDocument/2006/docPropsVTypes"/>
</file>