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NORTH CAROLINA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North Carolina LLC Act Highlights</w:t>
      </w:r>
    </w:p>
    <w:p>
      <w:pPr>
        <w:spacing w:after="120"/>
      </w:pPr>
      <w:r>
        <w:rPr>
          <w:sz w:val="22"/>
          <w:szCs w:val="22"/>
        </w:rPr>
        <w:t xml:space="preserve">Formation happens when Articles of Organization are filed with the North Carolina Secretary of State, and the LLC must maintain a registered agent with a North Carolina address. Chapter 57D defines the operating agreement expansively and provides that it controls over the statute for most internal matters, with defaults filling any gaps. Those defaults cover how managers are selected, how votes are counted, how distributions are shared, and what happens on dissociation, and members can override them by agreement. Common drafting choices include allocating distributions by ownership percentage rather than equally, defining a manager’s spending authority, requiring unanimous or supermajority consent to admit members or sell substantially all assets, and setting a valuation method for buyouts. Chapter 57D preserves a non-waivable core, including the obligation of good faith and fair dealing and the rights of persons other than members and managers. Single-member LLCs are recognized, and one person may serve as sole member and sole manager.</w:t>
      </w:r>
    </w:p>
    <w:p>
      <w:pPr>
        <w:pStyle w:val="Heading2"/>
        <w:spacing w:after="120" w:before="300"/>
      </w:pPr>
      <w:r>
        <w:t xml:space="preserve">17. Filing and Compliance in North Carolina</w:t>
      </w:r>
    </w:p>
    <w:p>
      <w:pPr>
        <w:spacing w:after="120"/>
      </w:pPr>
      <w:r>
        <w:rPr>
          <w:sz w:val="22"/>
          <w:szCs w:val="22"/>
        </w:rPr>
        <w:t xml:space="preserve">The North Carolina Secretary of State’s business registration division handles Articles of Organization, registered agent changes, and annual reports through its online portal. North Carolina LLCs must file an annual report with a fee to stay in good standing, and failing to file can lead to administrative dissolution. The operating agreement is never filed and does not appear in the public record. Depending on the business, additional registrations with the Department of Revenue or local privilege licensing may apply. Check the Secretary of State for the current annual report deadline and fee schedule rather than relying on any figure you have seen quoted elsewhere.</w:t>
      </w:r>
    </w:p>
    <w:p>
      <w:pPr>
        <w:pStyle w:val="Heading2"/>
        <w:spacing w:after="120" w:before="300"/>
      </w:pPr>
      <w:r>
        <w:t xml:space="preserve">18. North Carolina Official Resources</w:t>
      </w:r>
    </w:p>
    <w:p>
      <w:pPr>
        <w:spacing w:after="120"/>
      </w:pPr>
      <w:r>
        <w:rPr>
          <w:sz w:val="22"/>
          <w:szCs w:val="22"/>
        </w:rPr>
        <w:t xml:space="preserve">For current statutes and official guidance, consult the North Carolina Secretary of State, Business Registration Division (https://www.sosnc.gov).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LLC Operating Agreement</dc:title>
  <dc:creator>ScanContract</dc:creator>
  <dc:description>Download a free North Carolina LLC operating agreement template (PDF &amp; Word) with North Carolina LLC act highlights, filing notes, and official state resources.</dc:description>
  <cp:lastModifiedBy>Un-named</cp:lastModifiedBy>
  <cp:revision>1</cp:revision>
  <dcterms:created xsi:type="dcterms:W3CDTF">2026-08-16T12:32:41.405Z</dcterms:created>
  <dcterms:modified xsi:type="dcterms:W3CDTF">2026-08-16T12:32:41.405Z</dcterms:modified>
</cp:coreProperties>
</file>

<file path=docProps/custom.xml><?xml version="1.0" encoding="utf-8"?>
<Properties xmlns="http://schemas.openxmlformats.org/officeDocument/2006/custom-properties" xmlns:vt="http://schemas.openxmlformats.org/officeDocument/2006/docPropsVTypes"/>
</file>