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NEVADA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Nevada LLC Act Highlights</w:t>
      </w:r>
    </w:p>
    <w:p>
      <w:pPr>
        <w:spacing w:after="120"/>
      </w:pPr>
      <w:r>
        <w:rPr>
          <w:sz w:val="22"/>
          <w:szCs w:val="22"/>
        </w:rPr>
        <w:t xml:space="preserve">A Nevada LLC is formed by filing Articles of Organization with the Secretary of State along with the initial list of managers or managing members and the state business license application, and it must maintain a registered agent in Nevada. Chapter 86 of the Nevada Revised Statutes supplies defaults for management, voting, and distributions, and expressly allows members to displace most of them through the operating agreement. Useful overrides include allocating profits differently from capital contributions, choosing manager-managed governance with defined authority limits, requiring member consent for transfers, and setting the valuation method for buying out a departing member. Nevada is known for treating the charging order as the exclusive remedy of a member’s personal creditor, which keeps a judgment creditor from seizing the membership interest itself or forcing a sale of company assets. Single-member LLCs are recognized under the same chapter. Nevada also permits series LLCs, an advanced structure that requires careful drafting and separate recordkeeping for each series.</w:t>
      </w:r>
    </w:p>
    <w:p>
      <w:pPr>
        <w:pStyle w:val="Heading2"/>
        <w:spacing w:after="120" w:before="300"/>
      </w:pPr>
      <w:r>
        <w:t xml:space="preserve">17. Filing and Compliance in Nevada</w:t>
      </w:r>
    </w:p>
    <w:p>
      <w:pPr>
        <w:spacing w:after="120"/>
      </w:pPr>
      <w:r>
        <w:rPr>
          <w:sz w:val="22"/>
          <w:szCs w:val="22"/>
        </w:rPr>
        <w:t xml:space="preserve">Filings go through the Nevada Secretary of State, which handles Articles of Organization, the annual list of managers or managing members, and the state business license through the same portal. Nevada LLCs generally must file the annual list and renew the state business license each year on the anniversary cycle, and both carry fees that are meaningfully higher than in many states. The operating agreement is not filed and does not become public. Businesses with Nevada gross revenue above the commerce tax threshold have an additional annual filing with the Department of Taxation. Verify the current list deadline, business license fee, and commerce tax threshold with the state before budgeting, since these have been adjusted over time.</w:t>
      </w:r>
    </w:p>
    <w:p>
      <w:pPr>
        <w:pStyle w:val="Heading2"/>
        <w:spacing w:after="120" w:before="300"/>
      </w:pPr>
      <w:r>
        <w:t xml:space="preserve">18. Nevada Official Resources</w:t>
      </w:r>
    </w:p>
    <w:p>
      <w:pPr>
        <w:spacing w:after="120"/>
      </w:pPr>
      <w:r>
        <w:rPr>
          <w:sz w:val="22"/>
          <w:szCs w:val="22"/>
        </w:rPr>
        <w:t xml:space="preserve">For current statutes and official guidance, consult the Nevada Secretary of State, Commercial Recordings Division (https://www.nvsos.gov).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Nevada LLC Operating Agreement</dc:title>
  <dc:creator>ScanContract</dc:creator>
  <dc:description>Download a free Nevada LLC operating agreement template (PDF &amp; Word) with Nevada LLC act highlights, filing notes, and official state resources.</dc:description>
  <cp:lastModifiedBy>Un-named</cp:lastModifiedBy>
  <cp:revision>1</cp:revision>
  <dcterms:created xsi:type="dcterms:W3CDTF">2026-08-16T12:32:41.337Z</dcterms:created>
  <dcterms:modified xsi:type="dcterms:W3CDTF">2026-08-16T12:32:41.337Z</dcterms:modified>
</cp:coreProperties>
</file>

<file path=docProps/custom.xml><?xml version="1.0" encoding="utf-8"?>
<Properties xmlns="http://schemas.openxmlformats.org/officeDocument/2006/custom-properties" xmlns:vt="http://schemas.openxmlformats.org/officeDocument/2006/docPropsVTypes"/>
</file>