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MINNESOTA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Minnesota LLC Act Highlights</w:t>
      </w:r>
    </w:p>
    <w:p>
      <w:pPr>
        <w:spacing w:after="120"/>
      </w:pPr>
      <w:r>
        <w:rPr>
          <w:sz w:val="22"/>
          <w:szCs w:val="22"/>
        </w:rPr>
        <w:t xml:space="preserve">A Minnesota LLC is formed by filing Articles of Organization with the Minnesota Secretary of State and maintaining a registered agent and registered office in Minnesota. The Articles are minimal, so this operating agreement is where members define the governance structure, voting, contributions, allocations, and exit terms. Chapter 322C defaults to member management with equal management rights and requires consent before a transferee becomes a member, and it allows the operating agreement to select member-managed, manager-managed, or board-managed governance. The board-managed option is unusual among state LLC statutes and is useful for Minnesota companies that want corporate-style governance with LLC tax treatment. Members can override most defaults by agreement, including weighted voting, class structures, capital call obligations, and buy-sell terms, subject to the non-waivable protections the uniform act preserves such as the obligation of good faith and fair dealing. Single-member LLCs are recognized in Minnesota, and Chapter 322C applies to them the same way as multi-member companies.</w:t>
      </w:r>
    </w:p>
    <w:p>
      <w:pPr>
        <w:pStyle w:val="Heading2"/>
        <w:spacing w:after="120" w:before="300"/>
      </w:pPr>
      <w:r>
        <w:t xml:space="preserve">17. Filing and Compliance in Minnesota</w:t>
      </w:r>
    </w:p>
    <w:p>
      <w:pPr>
        <w:spacing w:after="120"/>
      </w:pPr>
      <w:r>
        <w:rPr>
          <w:sz w:val="22"/>
          <w:szCs w:val="22"/>
        </w:rPr>
        <w:t xml:space="preserve">Formation, amendments, and annual renewals are filed with the Minnesota Secretary of State Business Services Division, which supports online filing. Minnesota LLCs must file an annual renewal by the end of the calendar year, and Minnesota has long allowed entities in good standing to file that renewal at no charge, with a fee applying to reinstatement after a lapse. Failing to renew results in administrative dissolution, though Minnesota provides a reinstatement path. Minnesota does not impose a general LLC franchise tax, but state income tax, sales tax registration, and local licensing may apply. Because fee and deadline rules change, confirm current requirements with the Secretary of State; your operating agreement remains internal and is not filed.</w:t>
      </w:r>
    </w:p>
    <w:p>
      <w:pPr>
        <w:pStyle w:val="Heading2"/>
        <w:spacing w:after="120" w:before="300"/>
      </w:pPr>
      <w:r>
        <w:t xml:space="preserve">18. Minnesota Official Resources</w:t>
      </w:r>
    </w:p>
    <w:p>
      <w:pPr>
        <w:spacing w:after="120"/>
      </w:pPr>
      <w:r>
        <w:rPr>
          <w:sz w:val="22"/>
          <w:szCs w:val="22"/>
        </w:rPr>
        <w:t xml:space="preserve">For current statutes and official guidance, consult the Minnesota Secretary of State, Business Services (https://www.sos.mn.gov).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LLC Operating Agreement</dc:title>
  <dc:creator>ScanContract</dc:creator>
  <dc:description>Download a free Minnesota LLC operating agreement template (PDF &amp; Word) with Minnesota LLC act highlights, filing notes, and official state resources.</dc:description>
  <cp:lastModifiedBy>Un-named</cp:lastModifiedBy>
  <cp:revision>1</cp:revision>
  <dcterms:created xsi:type="dcterms:W3CDTF">2026-08-16T12:32:41.268Z</dcterms:created>
  <dcterms:modified xsi:type="dcterms:W3CDTF">2026-08-16T12:32:41.268Z</dcterms:modified>
</cp:coreProperties>
</file>

<file path=docProps/custom.xml><?xml version="1.0" encoding="utf-8"?>
<Properties xmlns="http://schemas.openxmlformats.org/officeDocument/2006/custom-properties" xmlns:vt="http://schemas.openxmlformats.org/officeDocument/2006/docPropsVTypes"/>
</file>