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MARYLAND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Maryland LLC Act Highlights</w:t>
      </w:r>
    </w:p>
    <w:p>
      <w:pPr>
        <w:spacing w:after="120"/>
      </w:pPr>
      <w:r>
        <w:rPr>
          <w:sz w:val="22"/>
          <w:szCs w:val="22"/>
        </w:rPr>
        <w:t xml:space="preserve">A Maryland LLC is formed by filing Articles of Organization with the State Department of Assessments and Taxation and maintaining a resident agent with a Maryland address. The Articles are short, so this operating agreement is where members define management structure, voting thresholds, capital contributions, distributions, and departure terms. Maryland default rules under Title 4A generally provide for member management, allocation of profits and distributions in proportion to contributions, and limits on a transferee becoming a member without consent. Members can change most of those defaults by agreement, and Maryland operating agreements commonly adopt manager management, create classes of interests, define capital call and dilution mechanics, and add transfer restrictions with buyout formulas. Maryland allows the agreement to define and reasonably limit duties, while the covenant of good faith and fair dealing continues to apply. Single-member LLCs are recognized in Maryland, and a written agreement remains the clearest evidence of separateness and signing authority for a solo owner.</w:t>
      </w:r>
    </w:p>
    <w:p>
      <w:pPr>
        <w:pStyle w:val="Heading2"/>
        <w:spacing w:after="120" w:before="300"/>
      </w:pPr>
      <w:r>
        <w:t xml:space="preserve">17. Filing and Compliance in Maryland</w:t>
      </w:r>
    </w:p>
    <w:p>
      <w:pPr>
        <w:spacing w:after="120"/>
      </w:pPr>
      <w:r>
        <w:rPr>
          <w:sz w:val="22"/>
          <w:szCs w:val="22"/>
        </w:rPr>
        <w:t xml:space="preserve">Formation, amendments, and annual reports for Maryland LLCs are filed with the State Department of Assessments and Taxation, not the Secretary of State, and SDAT supports online filing through the Maryland Business Express portal. Maryland LLCs file an annual report each spring, and businesses that own or lease personal property in Maryland file a business personal property return along with it. Maryland has long charged a flat annual report filing fee for LLCs that as of 2026 is widely quoted at $300, but fees can change, so confirm the current amount with SDAT. Missing the annual report can lead to forfeiture of the entity right to do business in Maryland, and reinstatement takes additional filings. The operating agreement remains internal and is never filed.</w:t>
      </w:r>
    </w:p>
    <w:p>
      <w:pPr>
        <w:pStyle w:val="Heading2"/>
        <w:spacing w:after="120" w:before="300"/>
      </w:pPr>
      <w:r>
        <w:t xml:space="preserve">18. Maryland Official Resources</w:t>
      </w:r>
    </w:p>
    <w:p>
      <w:pPr>
        <w:spacing w:after="120"/>
      </w:pPr>
      <w:r>
        <w:rPr>
          <w:sz w:val="22"/>
          <w:szCs w:val="22"/>
        </w:rPr>
        <w:t xml:space="preserve">For current statutes and official guidance, consult the Maryland State Department of Assessments and Taxation (https://dat.maryland.gov).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Maryland LLC Operating Agreement</dc:title>
  <dc:creator>ScanContract</dc:creator>
  <dc:description>Download a free Maryland LLC operating agreement template (PDF &amp; Word) with Maryland LLC act highlights, filing notes, and official state resources.</dc:description>
  <cp:lastModifiedBy>Un-named</cp:lastModifiedBy>
  <cp:revision>1</cp:revision>
  <dcterms:created xsi:type="dcterms:W3CDTF">2026-08-16T12:32:41.227Z</dcterms:created>
  <dcterms:modified xsi:type="dcterms:W3CDTF">2026-08-16T12:32:41.227Z</dcterms:modified>
</cp:coreProperties>
</file>

<file path=docProps/custom.xml><?xml version="1.0" encoding="utf-8"?>
<Properties xmlns="http://schemas.openxmlformats.org/officeDocument/2006/custom-properties" xmlns:vt="http://schemas.openxmlformats.org/officeDocument/2006/docPropsVTypes"/>
</file>