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LOUISIANA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Louisiana LLC Act Highlights</w:t>
      </w:r>
    </w:p>
    <w:p>
      <w:pPr>
        <w:spacing w:after="120"/>
      </w:pPr>
      <w:r>
        <w:rPr>
          <w:sz w:val="22"/>
          <w:szCs w:val="22"/>
        </w:rPr>
        <w:t xml:space="preserve">A Louisiana LLC is formed by filing Articles of Organization with the Louisiana Secretary of State, along with an initial report identifying the registered agent and initial managers or members. Louisiana requires the registered agent to accept the appointment, and filings for LLCs located in Orleans Parish have historically involved additional local recording steps. Louisiana default rules provide for member management with voting in proportion to contributions, and they restrict transferees from becoming full members without consent, but members can change most of this by agreement. Louisiana operating agreements commonly adopt manager management, define classes of interests, address capital calls, and add transfer and buyout provisions calibrated to Louisiana law. Because Louisiana is a community property state, an operating agreement here should address what happens to a membership interest on divorce or the death of a married member spouse, which is a question that plays out differently than in common-law states. Single-member LLCs are recognized in Louisiana and are widely used, and a written agreement remains valuable for a solo owner.</w:t>
      </w:r>
    </w:p>
    <w:p>
      <w:pPr>
        <w:pStyle w:val="Heading2"/>
        <w:spacing w:after="120" w:before="300"/>
      </w:pPr>
      <w:r>
        <w:t xml:space="preserve">17. Filing and Compliance in Louisiana</w:t>
      </w:r>
    </w:p>
    <w:p>
      <w:pPr>
        <w:spacing w:after="120"/>
      </w:pPr>
      <w:r>
        <w:rPr>
          <w:sz w:val="22"/>
          <w:szCs w:val="22"/>
        </w:rPr>
        <w:t xml:space="preserve">Formation, amendments, and annual reports are filed with the Louisiana Secretary of State Commercial Division, primarily through the geauxBIZ online portal. Louisiana LLCs file an annual report on or around the anniversary of formation, and failing to file can lead to the entity being administratively terminated. Louisiana businesses also register with the Department of Revenue for state sales and income tax obligations, and parish-level occupational licenses are common and administered locally. Because Louisiana filing requirements can vary by parish and because the state legal framework differs from other states, engage Louisiana counsel for anything beyond routine formation. Confirm current fees and deadlines with the Secretary of State rather than relying on published summaries.</w:t>
      </w:r>
    </w:p>
    <w:p>
      <w:pPr>
        <w:pStyle w:val="Heading2"/>
        <w:spacing w:after="120" w:before="300"/>
      </w:pPr>
      <w:r>
        <w:t xml:space="preserve">18. Louisiana Official Resources</w:t>
      </w:r>
    </w:p>
    <w:p>
      <w:pPr>
        <w:spacing w:after="120"/>
      </w:pPr>
      <w:r>
        <w:rPr>
          <w:sz w:val="22"/>
          <w:szCs w:val="22"/>
        </w:rPr>
        <w:t xml:space="preserve">For current statutes and official guidance, consult the Louisiana Secretary of State, Commercial Division (https://www.sos.la.gov).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LLC Operating Agreement</dc:title>
  <dc:creator>ScanContract</dc:creator>
  <dc:description>Download a free Louisiana LLC operating agreement template (PDF &amp; Word) with Louisiana LLC act highlights, filing notes, and official state resources.</dc:description>
  <cp:lastModifiedBy>Un-named</cp:lastModifiedBy>
  <cp:revision>1</cp:revision>
  <dcterms:created xsi:type="dcterms:W3CDTF">2026-08-16T12:32:41.200Z</dcterms:created>
  <dcterms:modified xsi:type="dcterms:W3CDTF">2026-08-16T12:32:41.200Z</dcterms:modified>
</cp:coreProperties>
</file>

<file path=docProps/custom.xml><?xml version="1.0" encoding="utf-8"?>
<Properties xmlns="http://schemas.openxmlformats.org/officeDocument/2006/custom-properties" xmlns:vt="http://schemas.openxmlformats.org/officeDocument/2006/docPropsVTypes"/>
</file>