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KENTUCKY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Kentucky LLC Act Highlights</w:t>
      </w:r>
    </w:p>
    <w:p>
      <w:pPr>
        <w:spacing w:after="120"/>
      </w:pPr>
      <w:r>
        <w:rPr>
          <w:sz w:val="22"/>
          <w:szCs w:val="22"/>
        </w:rPr>
        <w:t xml:space="preserve">A Kentucky LLC is formed by filing Articles of Organization with the Kentucky Secretary of State and designating a registered agent with a Kentucky address who signs to accept the role. The Articles capture the name, agent, management structure, and organizer, so this operating agreement carries the substantive rules on voting, capital, distributions, and departures. Kentucky defaults under KRS Chapter 275 provide for member management, allocation of profits and distributions in accordance with contributions, and consent requirements before a transferee is admitted as a member. Members may vary most of those defaults by agreement, and Kentucky operating agreements commonly adopt manager management, set weighted voting, address capital calls, and add transfer restrictions with a right of first refusal. Kentucky permits the agreement to define and reasonably limit duties, though the underlying obligation of good faith and fair dealing continues to apply. Single-member LLCs are fully recognized in Kentucky, and the same statutory framework applies to them.</w:t>
      </w:r>
    </w:p>
    <w:p>
      <w:pPr>
        <w:pStyle w:val="Heading2"/>
        <w:spacing w:after="120" w:before="300"/>
      </w:pPr>
      <w:r>
        <w:t xml:space="preserve">17. Filing and Compliance in Kentucky</w:t>
      </w:r>
    </w:p>
    <w:p>
      <w:pPr>
        <w:spacing w:after="120"/>
      </w:pPr>
      <w:r>
        <w:rPr>
          <w:sz w:val="22"/>
          <w:szCs w:val="22"/>
        </w:rPr>
        <w:t xml:space="preserve">Formation, amendments, and annual reports are filed with the Kentucky Secretary of State Division of Business Filings through the state online business portal. Kentucky LLCs file an annual report during a defined window in the first half of each calendar year, and missing it can lead to administrative dissolution. Separately, Kentucky imposes a limited liability entity tax administered by the Department of Revenue on most pass-through entities with Kentucky business activity, based on gross receipts or gross profits with a minimum, so budget for it independently of the Secretary of State filing. Local occupational license taxes are also common in Kentucky cities and counties and are administered locally. Confirm current report windows, fees, and tax thresholds with the Secretary of State and the Department of Revenue.</w:t>
      </w:r>
    </w:p>
    <w:p>
      <w:pPr>
        <w:pStyle w:val="Heading2"/>
        <w:spacing w:after="120" w:before="300"/>
      </w:pPr>
      <w:r>
        <w:t xml:space="preserve">18. Kentucky Official Resources</w:t>
      </w:r>
    </w:p>
    <w:p>
      <w:pPr>
        <w:spacing w:after="120"/>
      </w:pPr>
      <w:r>
        <w:rPr>
          <w:sz w:val="22"/>
          <w:szCs w:val="22"/>
        </w:rPr>
        <w:t xml:space="preserve">For current statutes and official guidance, consult the Kentucky Secretary of State, Division of Business Filings (https://www.sos.ky.gov).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Kentucky LLC Operating Agreement</dc:title>
  <dc:creator>ScanContract</dc:creator>
  <dc:description>Download a free Kentucky LLC operating agreement template (PDF &amp; Word) with Kentucky LLC act highlights, filing notes, and official state resources.</dc:description>
  <cp:lastModifiedBy>Un-named</cp:lastModifiedBy>
  <cp:revision>1</cp:revision>
  <dcterms:created xsi:type="dcterms:W3CDTF">2026-08-16T12:32:41.185Z</dcterms:created>
  <dcterms:modified xsi:type="dcterms:W3CDTF">2026-08-16T12:32:41.185Z</dcterms:modified>
</cp:coreProperties>
</file>

<file path=docProps/custom.xml><?xml version="1.0" encoding="utf-8"?>
<Properties xmlns="http://schemas.openxmlformats.org/officeDocument/2006/custom-properties" xmlns:vt="http://schemas.openxmlformats.org/officeDocument/2006/docPropsVTypes"/>
</file>