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IOWA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Iowa LLC Act Highlights</w:t>
      </w:r>
    </w:p>
    <w:p>
      <w:pPr>
        <w:spacing w:after="120"/>
      </w:pPr>
      <w:r>
        <w:rPr>
          <w:sz w:val="22"/>
          <w:szCs w:val="22"/>
        </w:rPr>
        <w:t xml:space="preserve">An Iowa LLC is formed by filing a Certificate of Organization with the Iowa Secretary of State and maintaining a registered agent with an Iowa address. Iowa keeps the certificate deliberately minimal, so this operating agreement is where members define management, voting, contributions, allocations, and buyout terms. Chapter 489 defaults to member-managed governance with equal management rights, requires consent to admit transferees as members, and sets out specific dissociation events and their consequences. Members may vary most defaults, and Iowa operating agreements commonly do so to allocate profits by capital account rather than per capita, to adopt manager management, to require supermajority approval for major decisions, and to set a valuation method for departing members. The revised uniform act preserves a limited set of non-waivable protections, including the obligation of good faith and fair dealing and reasonable member access to records, while allowing the agreement to define reasonable standards. Single-member LLCs are fully recognized in Iowa, and farm and land-holding LLCs in particular benefit from clear succession and transfer language in the agreement.</w:t>
      </w:r>
    </w:p>
    <w:p>
      <w:pPr>
        <w:pStyle w:val="Heading2"/>
        <w:spacing w:after="120" w:before="300"/>
      </w:pPr>
      <w:r>
        <w:t xml:space="preserve">17. Filing and Compliance in Iowa</w:t>
      </w:r>
    </w:p>
    <w:p>
      <w:pPr>
        <w:spacing w:after="120"/>
      </w:pPr>
      <w:r>
        <w:rPr>
          <w:sz w:val="22"/>
          <w:szCs w:val="22"/>
        </w:rPr>
        <w:t xml:space="preserve">Formation, amendments, and biennial reports are filed with the Iowa Secretary of State Business Services Division through its online filing system. Iowa LLCs file a biennial report in odd-numbered years rather than an annual report, which is a frequent point of confusion for owners moving from other states. Iowa does not impose a separate LLC franchise tax, though state income tax, sales tax permits, and local licensing may apply depending on your activity. Filing fees are set by the Secretary of State and are periodically adjusted, so check the current fee schedule before submitting anything. Your operating agreement is internal and is never filed with the state.</w:t>
      </w:r>
    </w:p>
    <w:p>
      <w:pPr>
        <w:pStyle w:val="Heading2"/>
        <w:spacing w:after="120" w:before="300"/>
      </w:pPr>
      <w:r>
        <w:t xml:space="preserve">18. Iowa Official Resources</w:t>
      </w:r>
    </w:p>
    <w:p>
      <w:pPr>
        <w:spacing w:after="120"/>
      </w:pPr>
      <w:r>
        <w:rPr>
          <w:sz w:val="22"/>
          <w:szCs w:val="22"/>
        </w:rPr>
        <w:t xml:space="preserve">For current statutes and official guidance, consult the Iowa Secretary of State, Business Services Division (https://sos.iowa.gov).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LLC Operating Agreement</dc:title>
  <dc:creator>ScanContract</dc:creator>
  <dc:description>Download a free Iowa LLC operating agreement template (PDF &amp; Word) with Iowa LLC act highlights, filing notes, and official state resources.</dc:description>
  <cp:lastModifiedBy>Un-named</cp:lastModifiedBy>
  <cp:revision>1</cp:revision>
  <dcterms:created xsi:type="dcterms:W3CDTF">2026-08-16T12:32:41.155Z</dcterms:created>
  <dcterms:modified xsi:type="dcterms:W3CDTF">2026-08-16T12:32:41.155Z</dcterms:modified>
</cp:coreProperties>
</file>

<file path=docProps/custom.xml><?xml version="1.0" encoding="utf-8"?>
<Properties xmlns="http://schemas.openxmlformats.org/officeDocument/2006/custom-properties" xmlns:vt="http://schemas.openxmlformats.org/officeDocument/2006/docPropsVTypes"/>
</file>