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GEORGIA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Georgia LLC Act Highlights</w:t>
      </w:r>
    </w:p>
    <w:p>
      <w:pPr>
        <w:spacing w:after="120"/>
      </w:pPr>
      <w:r>
        <w:rPr>
          <w:sz w:val="22"/>
          <w:szCs w:val="22"/>
        </w:rPr>
        <w:t xml:space="preserve">A Georgia LLC is formed by filing Articles of Organization with the Corporations Division of the Secretary of State, together with a transmittal form and a registered agent with a Georgia address. The Articles are minimal, so this operating agreement carries the governance detail: management structure, voting, contributions, allocations, and exit terms. Georgia default rules generally provide for member management, allocation of profits based on contributions rather than per capita, and consent requirements before a transferee becomes a member with voting rights. The Georgia act permits members to modify most defaults by agreement, including restricting or expanding duties within statutory limits, creating classes of membership interests, and setting detailed procedures for admission and withdrawal. Georgia is comparatively permissive about limiting fiduciary-type duties by agreement, though the covenant of good faith and fair dealing continues to apply. Single-member LLCs are fully recognized in Georgia, and the same statute governs them, so the agreement is still worth having as evidence of separateness and management authority.</w:t>
      </w:r>
    </w:p>
    <w:p>
      <w:pPr>
        <w:pStyle w:val="Heading2"/>
        <w:spacing w:after="120" w:before="300"/>
      </w:pPr>
      <w:r>
        <w:t xml:space="preserve">17. Filing and Compliance in Georgia</w:t>
      </w:r>
    </w:p>
    <w:p>
      <w:pPr>
        <w:spacing w:after="120"/>
      </w:pPr>
      <w:r>
        <w:rPr>
          <w:sz w:val="22"/>
          <w:szCs w:val="22"/>
        </w:rPr>
        <w:t xml:space="preserve">Formation, amendments, and agent changes are filed with the Georgia Secretary of State Corporations Division through its online business filing system. Georgia LLCs must file an annual registration each year within a defined window early in the calendar year, and Georgia offers multi-year registration options for some entities. Missing the annual registration can lead to administrative dissolution, and reinstatement requires additional filings and fees. Georgia does not impose a separate LLC franchise tax, but income tax, sales tax registration, and local business licenses may apply depending on your activity and county. Confirm current registration windows and fees with the Secretary of State before relying on any figure, and keep your operating agreement in your internal records rather than filing it.</w:t>
      </w:r>
    </w:p>
    <w:p>
      <w:pPr>
        <w:pStyle w:val="Heading2"/>
        <w:spacing w:after="120" w:before="300"/>
      </w:pPr>
      <w:r>
        <w:t xml:space="preserve">18. Georgia Official Resources</w:t>
      </w:r>
    </w:p>
    <w:p>
      <w:pPr>
        <w:spacing w:after="120"/>
      </w:pPr>
      <w:r>
        <w:rPr>
          <w:sz w:val="22"/>
          <w:szCs w:val="22"/>
        </w:rPr>
        <w:t xml:space="preserve">For current statutes and official guidance, consult the Georgia Secretary of State, Corporations Division (https://sos.ga.gov).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Georgia LLC Operating Agreement</dc:title>
  <dc:creator>ScanContract</dc:creator>
  <dc:description>Download a free Georgia LLC operating agreement template (PDF &amp; Word) with Georgia LLC act highlights, filing notes, and official state resources.</dc:description>
  <cp:lastModifiedBy>Un-named</cp:lastModifiedBy>
  <cp:revision>1</cp:revision>
  <dcterms:created xsi:type="dcterms:W3CDTF">2026-08-16T12:32:41.074Z</dcterms:created>
  <dcterms:modified xsi:type="dcterms:W3CDTF">2026-08-16T12:32:41.074Z</dcterms:modified>
</cp:coreProperties>
</file>

<file path=docProps/custom.xml><?xml version="1.0" encoding="utf-8"?>
<Properties xmlns="http://schemas.openxmlformats.org/officeDocument/2006/custom-properties" xmlns:vt="http://schemas.openxmlformats.org/officeDocument/2006/docPropsVTypes"/>
</file>