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CONNECTICUT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Connecticut LLC Act Highlights</w:t>
      </w:r>
    </w:p>
    <w:p>
      <w:pPr>
        <w:spacing w:after="120"/>
      </w:pPr>
      <w:r>
        <w:rPr>
          <w:sz w:val="22"/>
          <w:szCs w:val="22"/>
        </w:rPr>
        <w:t xml:space="preserve">A Connecticut LLC is formed by filing a Certificate of Organization with the Secretary of the State and naming a registered agent located in Connecticut. The certificate carries basic identifying information only, so this operating agreement is where members set management structure, voting thresholds, capital contributions, allocations, and exit terms. Under the Connecticut uniform act the default is member-managed governance with equal management rights, unanimous consent for extraordinary matters, and transferees receiving only economic rights absent member consent. Members can override most of those defaults, and Connecticut operating agreements commonly do so by adopting manager management, weighting votes by percentage interest, specifying distribution priorities, and adding a buy-sell mechanism with an agreed valuation approach. The act keeps a small set of non-waivable protections, including the obligation of good faith and fair dealing and core member information rights, but permits the agreement to prescribe reasonable standards and procedures for both. Single-member LLCs are recognized in Connecticut and are widely used by consultants, tradespeople, and property owners.</w:t>
      </w:r>
    </w:p>
    <w:p>
      <w:pPr>
        <w:pStyle w:val="Heading2"/>
        <w:spacing w:after="120" w:before="300"/>
      </w:pPr>
      <w:r>
        <w:t xml:space="preserve">17. Filing and Compliance in Connecticut</w:t>
      </w:r>
    </w:p>
    <w:p>
      <w:pPr>
        <w:spacing w:after="120"/>
      </w:pPr>
      <w:r>
        <w:rPr>
          <w:sz w:val="22"/>
          <w:szCs w:val="22"/>
        </w:rPr>
        <w:t xml:space="preserve">Formation, amendments, and agent changes are filed with the Connecticut Secretary of the State Business Services Division, which supports online filing through the state business portal. Connecticut LLCs must file an annual report each year to remain in good standing, and failing to do so can eventually lead to administrative dissolution. The flat business entity tax that Connecticut once imposed on LLCs has been repealed, so budget from current Department of Revenue Services guidance rather than older articles. Filing fees and report deadlines change from time to time, so confirm the current schedule with the Secretary of the State. The operating agreement itself is internal and is never filed.</w:t>
      </w:r>
    </w:p>
    <w:p>
      <w:pPr>
        <w:pStyle w:val="Heading2"/>
        <w:spacing w:after="120" w:before="300"/>
      </w:pPr>
      <w:r>
        <w:t xml:space="preserve">18. Connecticut Official Resources</w:t>
      </w:r>
    </w:p>
    <w:p>
      <w:pPr>
        <w:spacing w:after="120"/>
      </w:pPr>
      <w:r>
        <w:rPr>
          <w:sz w:val="22"/>
          <w:szCs w:val="22"/>
        </w:rPr>
        <w:t xml:space="preserve">For current statutes and official guidance, consult the Connecticut Secretary of the State, Business Services Division (https://portal.ct.gov/sots).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LLC Operating Agreement</dc:title>
  <dc:creator>ScanContract</dc:creator>
  <dc:description>Download a free Connecticut LLC operating agreement template (PDF &amp; Word) with Connecticut LLC act highlights, filing notes, and official state resources.</dc:description>
  <cp:lastModifiedBy>Un-named</cp:lastModifiedBy>
  <cp:revision>1</cp:revision>
  <dcterms:created xsi:type="dcterms:W3CDTF">2026-08-16T12:32:41.034Z</dcterms:created>
  <dcterms:modified xsi:type="dcterms:W3CDTF">2026-08-16T12:32:41.034Z</dcterms:modified>
</cp:coreProperties>
</file>

<file path=docProps/custom.xml><?xml version="1.0" encoding="utf-8"?>
<Properties xmlns="http://schemas.openxmlformats.org/officeDocument/2006/custom-properties" xmlns:vt="http://schemas.openxmlformats.org/officeDocument/2006/docPropsVTypes"/>
</file>