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CALIFORNIA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California LLC Act Highlights</w:t>
      </w:r>
    </w:p>
    <w:p>
      <w:pPr>
        <w:spacing w:after="120"/>
      </w:pPr>
      <w:r>
        <w:rPr>
          <w:sz w:val="22"/>
          <w:szCs w:val="22"/>
        </w:rPr>
        <w:t xml:space="preserve">A California LLC is formed by filing Articles of Organization, Form LLC-1, with the California Secretary of State and designating an agent for service of process in California. Under RULLCA the default is member-managed governance with per-capita voting on ordinary matters, and unanimous member consent for a defined list of major actions including amending the operating agreement and admitting a new member. Most of those defaults can be changed by agreement, so California operating agreements commonly shift to manager-managed governance, allocate voting power by percentage interest, define capital call obligations, and add transfer restrictions and buyout formulas. RULLCA sets outer limits on what the agreement can do, including restricting a member statutory right to information unreasonably or eliminating the duty of loyalty entirely, though the agreement can identify specific activities that do not violate it if not manifestly unreasonable. Single-member LLCs are fully recognized in California and are very common, but the state has specific rules for professional practices, and most licensed professions cannot operate through an LLC. If your LLC will hold California real estate or manage rental property, the agreement should also address distributions and reserves carefully, because the franchise tax is owed even in loss years.</w:t>
      </w:r>
    </w:p>
    <w:p>
      <w:pPr>
        <w:pStyle w:val="Heading2"/>
        <w:spacing w:after="120" w:before="300"/>
      </w:pPr>
      <w:r>
        <w:t xml:space="preserve">17. Filing and Compliance in California</w:t>
      </w:r>
    </w:p>
    <w:p>
      <w:pPr>
        <w:spacing w:after="120"/>
      </w:pPr>
      <w:r>
        <w:rPr>
          <w:sz w:val="22"/>
          <w:szCs w:val="22"/>
        </w:rPr>
        <w:t xml:space="preserve">Formation, amendments, and terminations are filed with the California Secretary of State Business Programs Division, which handles online submissions through its business filings portal. Every California LLC must file a Statement of Information, Form LLC-12, shortly after formation and then on a recurring cycle, which for LLCs is every two years rather than annually. Separately, the Franchise Tax Board administers the annual LLC franchise tax, which as of 2026 has long been $800 per year, plus an additional fee scaled to California-source gross receipts above certain thresholds. Local business licenses and city tax registrations are also required in many California municipalities and are entirely separate from the state filings. Amounts, thresholds, and deadlines change, so verify current figures with the Secretary of State and the Franchise Tax Board rather than relying on published summaries.</w:t>
      </w:r>
    </w:p>
    <w:p>
      <w:pPr>
        <w:pStyle w:val="Heading2"/>
        <w:spacing w:after="120" w:before="300"/>
      </w:pPr>
      <w:r>
        <w:t xml:space="preserve">18. California Official Resources</w:t>
      </w:r>
    </w:p>
    <w:p>
      <w:pPr>
        <w:spacing w:after="120"/>
      </w:pPr>
      <w:r>
        <w:rPr>
          <w:sz w:val="22"/>
          <w:szCs w:val="22"/>
        </w:rPr>
        <w:t xml:space="preserve">For current statutes and official guidance, consult the California Secretary of State, Business Programs Division (https://www.sos.ca.gov).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LLC Operating Agreement</dc:title>
  <dc:creator>ScanContract</dc:creator>
  <dc:description>Download a free California LLC operating agreement template (PDF &amp; Word) with California LLC act highlights, filing notes, and official state resources.</dc:description>
  <cp:lastModifiedBy>Un-named</cp:lastModifiedBy>
  <cp:revision>1</cp:revision>
  <dcterms:created xsi:type="dcterms:W3CDTF">2026-08-16T12:32:41.006Z</dcterms:created>
  <dcterms:modified xsi:type="dcterms:W3CDTF">2026-08-16T12:32:41.006Z</dcterms:modified>
</cp:coreProperties>
</file>

<file path=docProps/custom.xml><?xml version="1.0" encoding="utf-8"?>
<Properties xmlns="http://schemas.openxmlformats.org/officeDocument/2006/custom-properties" xmlns:vt="http://schemas.openxmlformats.org/officeDocument/2006/docPropsVTypes"/>
</file>