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ALASKA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Alaska LLC Act Highlights</w:t>
      </w:r>
    </w:p>
    <w:p>
      <w:pPr>
        <w:spacing w:after="120"/>
      </w:pPr>
      <w:r>
        <w:rPr>
          <w:sz w:val="22"/>
          <w:szCs w:val="22"/>
        </w:rPr>
        <w:t xml:space="preserve">An Alaska LLC is formed by filing Articles of Organization with the Division of Corporations, Business and Professional Licensing, along with an initial report that identifies members or managers. The Articles are brief, so this operating agreement carries the substance: who manages the company, how votes are counted, how profits are split, and what happens when someone leaves. Alaska default rules under AS 10.50 generally give each member an equal voice and require consent before an assignee becomes a full member, and most of those defaults can be overridden by agreement. Common Alaska overrides include manager-managed governance, distributions proportional to capital contributions rather than per capita, and detailed transfer restrictions with a right of first refusal. Alaska recognizes single-member LLCs, and they are a common structure for fishing, tourism, and contracting operations in the state. Because Alaska business is often seasonal, many operating agreements here also address capital call timing and distribution holdbacks between seasons.</w:t>
      </w:r>
    </w:p>
    <w:p>
      <w:pPr>
        <w:pStyle w:val="Heading2"/>
        <w:spacing w:after="120" w:before="300"/>
      </w:pPr>
      <w:r>
        <w:t xml:space="preserve">17. Filing and Compliance in Alaska</w:t>
      </w:r>
    </w:p>
    <w:p>
      <w:pPr>
        <w:spacing w:after="120"/>
      </w:pPr>
      <w:r>
        <w:rPr>
          <w:sz w:val="22"/>
          <w:szCs w:val="22"/>
        </w:rPr>
        <w:t xml:space="preserve">Formation, amendments, and reports are filed with the Division of Corporations, Business and Professional Licensing rather than a Secretary of State office. Alaska LLCs file a biennial report on a two-year cycle rather than an annual report, which trips up owners who assume the usual annual calendar. Separately, most Alaska businesses must obtain and renew a state business license, and some activities require professional or industry-specific endorsements. Fee amounts and due dates change, so check the current schedule published by the Division before budgeting or diarizing a deadline. Your operating agreement stays internal and is never part of these filings.</w:t>
      </w:r>
    </w:p>
    <w:p>
      <w:pPr>
        <w:pStyle w:val="Heading2"/>
        <w:spacing w:after="120" w:before="300"/>
      </w:pPr>
      <w:r>
        <w:t xml:space="preserve">18. Alaska Official Resources</w:t>
      </w:r>
    </w:p>
    <w:p>
      <w:pPr>
        <w:spacing w:after="120"/>
      </w:pPr>
      <w:r>
        <w:rPr>
          <w:sz w:val="22"/>
          <w:szCs w:val="22"/>
        </w:rPr>
        <w:t xml:space="preserve">For current statutes and official guidance, consult the Alaska Division of Corporations, Business and Professional Licensing (https://www.commerce.alaska.gov).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Alaska LLC Operating Agreement</dc:title>
  <dc:creator>ScanContract</dc:creator>
  <dc:description>Download a free Alaska LLC operating agreement template (PDF &amp; Word) with Alaska LLC act highlights, filing notes, and official state resources.</dc:description>
  <cp:lastModifiedBy>Un-named</cp:lastModifiedBy>
  <cp:revision>1</cp:revision>
  <dcterms:created xsi:type="dcterms:W3CDTF">2026-08-16T12:32:40.966Z</dcterms:created>
  <dcterms:modified xsi:type="dcterms:W3CDTF">2026-08-16T12:32:40.966Z</dcterms:modified>
</cp:coreProperties>
</file>

<file path=docProps/custom.xml><?xml version="1.0" encoding="utf-8"?>
<Properties xmlns="http://schemas.openxmlformats.org/officeDocument/2006/custom-properties" xmlns:vt="http://schemas.openxmlformats.org/officeDocument/2006/docPropsVTypes"/>
</file>