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ALABAMA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Alabama LLC Act Highlights</w:t>
      </w:r>
    </w:p>
    <w:p>
      <w:pPr>
        <w:spacing w:after="120"/>
      </w:pPr>
      <w:r>
        <w:rPr>
          <w:sz w:val="22"/>
          <w:szCs w:val="22"/>
        </w:rPr>
        <w:t xml:space="preserve">An Alabama LLC is formed by filing a Certificate of Formation with the Alabama Secretary of State, and filings that once went through the county probate judge are now handled at the state level. The certificate itself is short: name, registered agent, and a few structural details, with the real operating rules left to this agreement. If the members do not adopt an operating agreement, Alabama default rules fill the gap — generally equal management rights per member, unanimous consent for major decisions, and restrictions on transferring more than an economic interest. Those defaults can be changed by agreement on most points, including allocation of profits by capital contribution rather than by head count, manager-managed governance, and buyout mechanics on death or withdrawal. Alabama does place outer limits on what an agreement can do, such as eliminating the duty of good faith and fair dealing outright, though the standards for measuring it can be spelled out. Single-member LLCs are common and fully recognized in Alabama, and a written agreement is still worth having for a single owner as evidence that the company is a separate entity.</w:t>
      </w:r>
    </w:p>
    <w:p>
      <w:pPr>
        <w:pStyle w:val="Heading2"/>
        <w:spacing w:after="120" w:before="300"/>
      </w:pPr>
      <w:r>
        <w:t xml:space="preserve">17. Filing and Compliance in Alabama</w:t>
      </w:r>
    </w:p>
    <w:p>
      <w:pPr>
        <w:spacing w:after="120"/>
      </w:pPr>
      <w:r>
        <w:rPr>
          <w:sz w:val="22"/>
          <w:szCs w:val="22"/>
        </w:rPr>
        <w:t xml:space="preserve">Formation documents and name reservations are handled by the Alabama Secretary of State Business Entities Division, which accepts online filings. Alabama LLCs must maintain a registered agent with a physical address in the state, and a change of agent is filed with the Secretary of State. Beyond formation, the recurring obligations for Alabama LLCs are primarily tax-side rather than corporate-side, including business privilege tax filings administered by the Alabama Department of Revenue, whose thresholds for small entities have been adjusted in recent years. Because filing fees and privilege tax rules change, confirm the current fee schedule and filing calendar with the Secretary of State and the Department of Revenue rather than relying on any figure quoted online. Keep the signed operating agreement with your internal records — it is not filed with the state.</w:t>
      </w:r>
    </w:p>
    <w:p>
      <w:pPr>
        <w:pStyle w:val="Heading2"/>
        <w:spacing w:after="120" w:before="300"/>
      </w:pPr>
      <w:r>
        <w:t xml:space="preserve">18. Alabama Official Resources</w:t>
      </w:r>
    </w:p>
    <w:p>
      <w:pPr>
        <w:spacing w:after="120"/>
      </w:pPr>
      <w:r>
        <w:rPr>
          <w:sz w:val="22"/>
          <w:szCs w:val="22"/>
        </w:rPr>
        <w:t xml:space="preserve">For current statutes and official guidance, consult the Alabama Secretary of State, Business Entities Division (https://www.sos.alabama.gov).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Alabama LLC Operating Agreement</dc:title>
  <dc:creator>ScanContract</dc:creator>
  <dc:description>Download a free Alabama LLC operating agreement template (PDF &amp; Word) with Alabama LLC act highlights, filing notes, and official state resources.</dc:description>
  <cp:lastModifiedBy>Un-named</cp:lastModifiedBy>
  <cp:revision>1</cp:revision>
  <dcterms:created xsi:type="dcterms:W3CDTF">2026-08-16T12:32:40.952Z</dcterms:created>
  <dcterms:modified xsi:type="dcterms:W3CDTF">2026-08-16T12:32:40.952Z</dcterms:modified>
</cp:coreProperties>
</file>

<file path=docProps/custom.xml><?xml version="1.0" encoding="utf-8"?>
<Properties xmlns="http://schemas.openxmlformats.org/officeDocument/2006/custom-properties" xmlns:vt="http://schemas.openxmlformats.org/officeDocument/2006/docPropsVTypes"/>
</file>